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DBF3" w14:textId="3F66D5AD" w:rsidR="00CE7C9B" w:rsidRPr="004D7162" w:rsidRDefault="00CE7C9B" w:rsidP="00CE7C9B">
      <w:pPr>
        <w:keepLines/>
        <w:suppressLineNumbers/>
        <w:suppressAutoHyphens/>
        <w:jc w:val="both"/>
      </w:pPr>
      <w:r>
        <w:t>Acte normative utile</w:t>
      </w:r>
      <w:r w:rsidRPr="004D7162">
        <w:t>:</w:t>
      </w:r>
    </w:p>
    <w:p w14:paraId="658FE433" w14:textId="77777777" w:rsidR="00CE7C9B" w:rsidRPr="004D7162" w:rsidRDefault="00CE7C9B" w:rsidP="00CE7C9B">
      <w:pPr>
        <w:pStyle w:val="ListParagraph"/>
        <w:numPr>
          <w:ilvl w:val="0"/>
          <w:numId w:val="1"/>
        </w:numPr>
        <w:ind w:left="680"/>
        <w:jc w:val="both"/>
        <w:rPr>
          <w:rFonts w:ascii="Times New Roman" w:hAnsi="Times New Roman"/>
          <w:sz w:val="24"/>
          <w:szCs w:val="24"/>
          <w:lang w:val="en-US"/>
        </w:rPr>
      </w:pPr>
      <w:r w:rsidRPr="004D7162">
        <w:rPr>
          <w:rFonts w:ascii="Times New Roman" w:hAnsi="Times New Roman"/>
          <w:sz w:val="24"/>
          <w:szCs w:val="24"/>
        </w:rPr>
        <w:t>Legea nr. 153/2011 actualizată, privind măsuri de creştere a calităţii arhitectural-ambientale a clădirilor</w:t>
      </w:r>
      <w:r w:rsidRPr="004D7162">
        <w:rPr>
          <w:rFonts w:ascii="Times New Roman" w:hAnsi="Times New Roman"/>
          <w:sz w:val="24"/>
          <w:szCs w:val="24"/>
          <w:lang w:val="en-US"/>
        </w:rPr>
        <w:t>;</w:t>
      </w:r>
    </w:p>
    <w:p w14:paraId="5C325A28" w14:textId="77777777" w:rsidR="00CE7C9B" w:rsidRPr="004D7162" w:rsidRDefault="00CE7C9B" w:rsidP="00CE7C9B">
      <w:pPr>
        <w:pStyle w:val="ListParagraph"/>
        <w:numPr>
          <w:ilvl w:val="0"/>
          <w:numId w:val="1"/>
        </w:numPr>
        <w:ind w:left="680"/>
        <w:jc w:val="both"/>
        <w:rPr>
          <w:rFonts w:ascii="Times New Roman" w:hAnsi="Times New Roman"/>
          <w:sz w:val="24"/>
          <w:szCs w:val="24"/>
        </w:rPr>
      </w:pPr>
      <w:r w:rsidRPr="004D7162">
        <w:rPr>
          <w:rFonts w:ascii="Times New Roman" w:hAnsi="Times New Roman"/>
          <w:sz w:val="24"/>
          <w:szCs w:val="24"/>
        </w:rPr>
        <w:t>Legea nr. 422/2001 republicată, privind protejarea monumentelor istorice</w:t>
      </w:r>
      <w:r w:rsidRPr="004D7162">
        <w:rPr>
          <w:rFonts w:ascii="Times New Roman" w:hAnsi="Times New Roman"/>
          <w:sz w:val="24"/>
          <w:szCs w:val="24"/>
          <w:lang w:val="en-US"/>
        </w:rPr>
        <w:t>;</w:t>
      </w:r>
    </w:p>
    <w:p w14:paraId="12B9A460"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Legea nr. 10/1995 republicată, privind calitatea în construcţii;</w:t>
      </w:r>
    </w:p>
    <w:p w14:paraId="76E3A34E" w14:textId="77777777" w:rsidR="00CE7C9B" w:rsidRPr="004D7162" w:rsidRDefault="00CE7C9B" w:rsidP="00CE7C9B">
      <w:pPr>
        <w:pStyle w:val="ListParagraph"/>
        <w:numPr>
          <w:ilvl w:val="0"/>
          <w:numId w:val="1"/>
        </w:numPr>
        <w:ind w:left="680"/>
        <w:jc w:val="both"/>
        <w:rPr>
          <w:rFonts w:ascii="Times New Roman" w:hAnsi="Times New Roman"/>
          <w:sz w:val="24"/>
          <w:szCs w:val="24"/>
        </w:rPr>
      </w:pPr>
      <w:r w:rsidRPr="004D7162">
        <w:rPr>
          <w:rFonts w:ascii="Times New Roman" w:hAnsi="Times New Roman"/>
          <w:sz w:val="24"/>
          <w:szCs w:val="24"/>
        </w:rPr>
        <w:t>Legea nr. 50/1991 republicată, privind autorizarea executării lucrărilor de construcţii;</w:t>
      </w:r>
    </w:p>
    <w:p w14:paraId="15FCDC87"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Hotărârea de Guvern 907/2016, privind etapele de elaborare şi conţinutul-cadru al documentaţiilor tehnico-economice aferente obiectivelor/proiectelor de investiţii finanţate din fonduri publice;</w:t>
      </w:r>
    </w:p>
    <w:p w14:paraId="20A4DDD1" w14:textId="77777777" w:rsidR="00CE7C9B" w:rsidRPr="004D7162" w:rsidRDefault="00CE7C9B" w:rsidP="00CE7C9B">
      <w:pPr>
        <w:pStyle w:val="ListParagraph"/>
        <w:numPr>
          <w:ilvl w:val="0"/>
          <w:numId w:val="1"/>
        </w:numPr>
        <w:ind w:left="680"/>
        <w:jc w:val="both"/>
        <w:rPr>
          <w:rFonts w:ascii="Times New Roman" w:hAnsi="Times New Roman"/>
          <w:sz w:val="24"/>
          <w:szCs w:val="24"/>
        </w:rPr>
      </w:pPr>
      <w:r w:rsidRPr="004D7162">
        <w:rPr>
          <w:rFonts w:ascii="Times New Roman" w:hAnsi="Times New Roman"/>
          <w:sz w:val="24"/>
          <w:szCs w:val="24"/>
        </w:rPr>
        <w:t>Legea nr. 207/2015 privind Codul de procedură fiscală, cu modificările şi completările ulterioare;</w:t>
      </w:r>
    </w:p>
    <w:p w14:paraId="6FDE6C4C" w14:textId="77777777" w:rsidR="00CE7C9B" w:rsidRPr="004D7162" w:rsidRDefault="00CE7C9B" w:rsidP="00CE7C9B">
      <w:pPr>
        <w:pStyle w:val="ListParagraph"/>
        <w:numPr>
          <w:ilvl w:val="0"/>
          <w:numId w:val="1"/>
        </w:numPr>
        <w:ind w:left="680"/>
        <w:jc w:val="both"/>
        <w:rPr>
          <w:rFonts w:ascii="Times New Roman" w:hAnsi="Times New Roman"/>
          <w:sz w:val="24"/>
          <w:szCs w:val="24"/>
        </w:rPr>
      </w:pPr>
      <w:r w:rsidRPr="004D7162">
        <w:rPr>
          <w:rFonts w:ascii="Times New Roman" w:hAnsi="Times New Roman"/>
          <w:sz w:val="24"/>
          <w:szCs w:val="24"/>
        </w:rPr>
        <w:t>Legea nr. 196/2018 privind înființarea, organizarea și funcționarea asociațiilor de proprietari, cu modificările și completările ulterioare;</w:t>
      </w:r>
    </w:p>
    <w:p w14:paraId="42ED837D" w14:textId="77777777" w:rsidR="00CE7C9B" w:rsidRPr="004D7162" w:rsidRDefault="00CE7C9B" w:rsidP="00CE7C9B">
      <w:pPr>
        <w:pStyle w:val="ListParagraph"/>
        <w:numPr>
          <w:ilvl w:val="0"/>
          <w:numId w:val="1"/>
        </w:numPr>
        <w:ind w:left="680"/>
        <w:jc w:val="both"/>
        <w:rPr>
          <w:rFonts w:ascii="Times New Roman" w:hAnsi="Times New Roman"/>
          <w:sz w:val="24"/>
          <w:szCs w:val="24"/>
        </w:rPr>
      </w:pPr>
      <w:r w:rsidRPr="004D7162">
        <w:rPr>
          <w:rFonts w:ascii="Times New Roman" w:hAnsi="Times New Roman"/>
          <w:sz w:val="24"/>
          <w:szCs w:val="24"/>
        </w:rPr>
        <w:t>Legea nr. 273/2006 privind finanțele publice locale, cu modificările şi completările ulterioare;</w:t>
      </w:r>
    </w:p>
    <w:p w14:paraId="2CDA3132"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 xml:space="preserve">Legea contenciosului administrativ nr. 554/2004, cu modificările şi completările ulterioare; </w:t>
      </w:r>
    </w:p>
    <w:p w14:paraId="499E1C63"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Hotărârea de Guvern nr. 1430/2003 pentru aprobarea Normelor metodologice privind situaţiile în care Ministerul Culturii şi Cultelor, respectiv autorităţile administraţiei publice locale, contribuie la acoperirea costurilor lucrărilor de reabilitare asupra monumentelor istorice, proporţia contribuţiei, procedurile, precum şi condiţiile pe care trebuie să le îndeplinească proprietarul, altul decât statul, municipiul, oraşul sau comuna;</w:t>
      </w:r>
    </w:p>
    <w:p w14:paraId="51B3D7E8" w14:textId="03D63B92" w:rsidR="00CE7C9B" w:rsidRPr="00CE7C9B"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 xml:space="preserve">Hotărârea de Guvern nr. 525/1996 </w:t>
      </w:r>
      <w:r w:rsidRPr="004D7162">
        <w:rPr>
          <w:rFonts w:ascii="Times New Roman" w:hAnsi="Times New Roman"/>
          <w:sz w:val="24"/>
          <w:szCs w:val="24"/>
          <w:lang w:val="en-US"/>
        </w:rPr>
        <w:t>pentru aprobarea Regulamentului general de urbanism;</w:t>
      </w:r>
    </w:p>
    <w:p w14:paraId="4CB7F461" w14:textId="7DBA8562"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CE7C9B">
        <w:rPr>
          <w:rFonts w:ascii="Times New Roman" w:hAnsi="Times New Roman"/>
          <w:sz w:val="24"/>
          <w:szCs w:val="24"/>
        </w:rPr>
        <w:t>Ordinul ministrului culturii și cultelor nr. 2260/18.04.2008 privind aprobarea Normelor metodologice de clasare și inventariere a monumentelor istorice (Anexa: Normă metodologică din 18.04.2008 de clasare și inventariere a monumentelor istorice)</w:t>
      </w:r>
    </w:p>
    <w:p w14:paraId="7B6EC63B" w14:textId="77777777" w:rsidR="00CE7C9B" w:rsidRPr="004D7162" w:rsidRDefault="00CE7C9B" w:rsidP="00CE7C9B">
      <w:pPr>
        <w:pStyle w:val="ListParagraph"/>
        <w:keepLines/>
        <w:numPr>
          <w:ilvl w:val="0"/>
          <w:numId w:val="1"/>
        </w:numPr>
        <w:suppressLineNumbers/>
        <w:suppressAutoHyphens/>
        <w:spacing w:after="0" w:line="240" w:lineRule="auto"/>
        <w:ind w:left="680"/>
        <w:rPr>
          <w:rFonts w:ascii="Times New Roman" w:hAnsi="Times New Roman"/>
          <w:sz w:val="24"/>
          <w:szCs w:val="24"/>
        </w:rPr>
      </w:pPr>
      <w:r w:rsidRPr="004D7162">
        <w:rPr>
          <w:rFonts w:ascii="Times New Roman" w:hAnsi="Times New Roman"/>
          <w:sz w:val="24"/>
          <w:szCs w:val="24"/>
        </w:rPr>
        <w:t>Ordonanța de urgență nr. 57/2019 privind Codul Administrativ;</w:t>
      </w:r>
    </w:p>
    <w:p w14:paraId="63B7B54D"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i/>
        </w:rPr>
      </w:pPr>
      <w:r w:rsidRPr="004D7162">
        <w:rPr>
          <w:rFonts w:ascii="Times New Roman" w:hAnsi="Times New Roman"/>
          <w:sz w:val="24"/>
          <w:szCs w:val="24"/>
        </w:rPr>
        <w:t>Ordonanţa Guvernului nr. 2/2001 privind regimul juridic al contravenţiilor, aprobată cu modificări şi completări prin Legea nr. 180/2002, cu modificările şi completările ulterioare</w:t>
      </w:r>
      <w:r w:rsidRPr="004D7162">
        <w:rPr>
          <w:rFonts w:ascii="Times New Roman" w:hAnsi="Times New Roman"/>
        </w:rPr>
        <w:t>;</w:t>
      </w:r>
    </w:p>
    <w:p w14:paraId="19B32C28" w14:textId="77777777" w:rsidR="00CE7C9B" w:rsidRPr="004D7162" w:rsidRDefault="00CE7C9B" w:rsidP="00CE7C9B">
      <w:pPr>
        <w:pStyle w:val="ListParagraph"/>
        <w:keepLines/>
        <w:numPr>
          <w:ilvl w:val="0"/>
          <w:numId w:val="1"/>
        </w:numPr>
        <w:suppressLineNumbers/>
        <w:suppressAutoHyphens/>
        <w:spacing w:after="0" w:line="240" w:lineRule="auto"/>
        <w:ind w:left="680"/>
        <w:rPr>
          <w:rFonts w:ascii="Times New Roman" w:hAnsi="Times New Roman"/>
          <w:sz w:val="24"/>
          <w:szCs w:val="24"/>
        </w:rPr>
      </w:pPr>
      <w:r w:rsidRPr="004D7162">
        <w:rPr>
          <w:rFonts w:ascii="Times New Roman" w:hAnsi="Times New Roman"/>
          <w:sz w:val="24"/>
          <w:szCs w:val="24"/>
        </w:rPr>
        <w:t>Legea nr. 287/2009 republicată, privind Codul Civil;</w:t>
      </w:r>
    </w:p>
    <w:p w14:paraId="09B1C490" w14:textId="77777777" w:rsidR="00CE7C9B" w:rsidRPr="004D7162" w:rsidRDefault="00CE7C9B" w:rsidP="00CE7C9B">
      <w:pPr>
        <w:pStyle w:val="ListParagraph"/>
        <w:keepLines/>
        <w:numPr>
          <w:ilvl w:val="0"/>
          <w:numId w:val="1"/>
        </w:numPr>
        <w:suppressLineNumbers/>
        <w:suppressAutoHyphens/>
        <w:spacing w:after="0" w:line="240" w:lineRule="auto"/>
        <w:ind w:left="680"/>
        <w:rPr>
          <w:rFonts w:ascii="Times New Roman" w:hAnsi="Times New Roman"/>
          <w:sz w:val="24"/>
          <w:szCs w:val="24"/>
        </w:rPr>
      </w:pPr>
      <w:r w:rsidRPr="004D7162">
        <w:rPr>
          <w:rFonts w:ascii="Times New Roman" w:hAnsi="Times New Roman"/>
          <w:sz w:val="24"/>
          <w:szCs w:val="24"/>
        </w:rPr>
        <w:t>H.C.L. nr. 52 din 23.02.1999 privind aprobarea Regulamentului de urbanism – Cartier Cetate Timișoara;</w:t>
      </w:r>
    </w:p>
    <w:p w14:paraId="03CE8D7A" w14:textId="173E1F0B" w:rsidR="00CE7C9B" w:rsidRPr="004D7162" w:rsidRDefault="00CE7C9B" w:rsidP="00CE7C9B">
      <w:pPr>
        <w:pStyle w:val="ListParagraph"/>
        <w:keepLines/>
        <w:numPr>
          <w:ilvl w:val="0"/>
          <w:numId w:val="1"/>
        </w:numPr>
        <w:suppressLineNumbers/>
        <w:suppressAutoHyphens/>
        <w:spacing w:after="0" w:line="240" w:lineRule="auto"/>
        <w:ind w:left="680"/>
        <w:rPr>
          <w:rFonts w:ascii="Times New Roman" w:hAnsi="Times New Roman"/>
          <w:sz w:val="24"/>
          <w:szCs w:val="24"/>
        </w:rPr>
      </w:pPr>
      <w:r w:rsidRPr="004D7162">
        <w:rPr>
          <w:rFonts w:ascii="Times New Roman" w:hAnsi="Times New Roman"/>
          <w:sz w:val="24"/>
          <w:szCs w:val="24"/>
        </w:rPr>
        <w:t xml:space="preserve">H.C.L. nr. </w:t>
      </w:r>
      <w:r w:rsidR="00797EEA">
        <w:rPr>
          <w:rFonts w:ascii="Times New Roman" w:hAnsi="Times New Roman"/>
          <w:sz w:val="24"/>
          <w:szCs w:val="24"/>
        </w:rPr>
        <w:t>457</w:t>
      </w:r>
      <w:r w:rsidRPr="004D7162">
        <w:rPr>
          <w:rFonts w:ascii="Times New Roman" w:hAnsi="Times New Roman"/>
          <w:sz w:val="24"/>
          <w:szCs w:val="24"/>
        </w:rPr>
        <w:t xml:space="preserve"> din </w:t>
      </w:r>
      <w:r w:rsidR="00797EEA">
        <w:rPr>
          <w:rFonts w:ascii="Times New Roman" w:hAnsi="Times New Roman"/>
          <w:sz w:val="24"/>
          <w:szCs w:val="24"/>
        </w:rPr>
        <w:t>17</w:t>
      </w:r>
      <w:r w:rsidRPr="004D7162">
        <w:rPr>
          <w:rFonts w:ascii="Times New Roman" w:hAnsi="Times New Roman"/>
          <w:sz w:val="24"/>
          <w:szCs w:val="24"/>
        </w:rPr>
        <w:t>.</w:t>
      </w:r>
      <w:r w:rsidR="00797EEA">
        <w:rPr>
          <w:rFonts w:ascii="Times New Roman" w:hAnsi="Times New Roman"/>
          <w:sz w:val="24"/>
          <w:szCs w:val="24"/>
        </w:rPr>
        <w:t>10</w:t>
      </w:r>
      <w:r w:rsidRPr="004D7162">
        <w:rPr>
          <w:rFonts w:ascii="Times New Roman" w:hAnsi="Times New Roman"/>
          <w:sz w:val="24"/>
          <w:szCs w:val="24"/>
        </w:rPr>
        <w:t>.20</w:t>
      </w:r>
      <w:r w:rsidR="00797EEA">
        <w:rPr>
          <w:rFonts w:ascii="Times New Roman" w:hAnsi="Times New Roman"/>
          <w:sz w:val="24"/>
          <w:szCs w:val="24"/>
        </w:rPr>
        <w:t>23</w:t>
      </w:r>
      <w:r w:rsidRPr="004D7162">
        <w:rPr>
          <w:rFonts w:ascii="Times New Roman" w:hAnsi="Times New Roman"/>
          <w:sz w:val="24"/>
          <w:szCs w:val="24"/>
        </w:rPr>
        <w:t xml:space="preserve"> </w:t>
      </w:r>
      <w:r w:rsidR="00797EEA" w:rsidRPr="00797EEA">
        <w:rPr>
          <w:rFonts w:ascii="Times New Roman" w:hAnsi="Times New Roman"/>
          <w:sz w:val="24"/>
          <w:szCs w:val="24"/>
        </w:rPr>
        <w:t>privind aprobarea Planului Urbanistic General - Municipiul Timișoara și a Regulamentului Local de Urbanism aferent</w:t>
      </w:r>
      <w:r w:rsidRPr="004D7162">
        <w:rPr>
          <w:rFonts w:ascii="Times New Roman" w:hAnsi="Times New Roman"/>
          <w:sz w:val="24"/>
          <w:szCs w:val="24"/>
        </w:rPr>
        <w:t>;</w:t>
      </w:r>
    </w:p>
    <w:p w14:paraId="26162789"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 xml:space="preserve">H.C.L. nr. 133 din 14.03.2013 privind declararea zonei Piaţa Victoriei din Timişoara ca zonă prioritară de protejare şi intervenţie asupra clădirilor aparţinând Ansamblului urban înscris în Lista monumentelor istorice 2010, poziţia 153, cod TM-II-a-A-06115, „Corso"; </w:t>
      </w:r>
    </w:p>
    <w:p w14:paraId="3AF77EAC"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H.C.L. nr. 61 din 28.02.2012 privind aprobarea Etapei a 2-a, Concept general de dezvoltare urbană (MASTERPLAN);</w:t>
      </w:r>
    </w:p>
    <w:p w14:paraId="43C36666"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H.C.L. nr. 208 din 31.05.2011 privind aprobarea Studiului de fundamentare istorică „Zone construite protejate” - Timişoara 2011;</w:t>
      </w:r>
    </w:p>
    <w:p w14:paraId="3A3C2FB2"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H.C.L. nr. 224 din 22.04.2008 privind aprobarea Îndrumarului pentru Regulamentul Local de Urbanism al cartierului Cetate şi al altor zone istorice protejate din Timişoara;</w:t>
      </w:r>
    </w:p>
    <w:p w14:paraId="31FE94EF"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 xml:space="preserve">H.C.L. nr. 3 din 30.01.2007 privind aprobarea Conceptului Integrat de Măsuri pentru Reabilitarea Prudentă şi Revitalizarea Economică a Cartierelor Istorice din Timişoara; </w:t>
      </w:r>
    </w:p>
    <w:p w14:paraId="0EA4636D" w14:textId="77777777" w:rsidR="00CE7C9B" w:rsidRPr="004D7162" w:rsidRDefault="00CE7C9B" w:rsidP="00CE7C9B">
      <w:pPr>
        <w:pStyle w:val="ListParagraph"/>
        <w:keepLines/>
        <w:numPr>
          <w:ilvl w:val="0"/>
          <w:numId w:val="1"/>
        </w:numPr>
        <w:suppressLineNumbers/>
        <w:suppressAutoHyphens/>
        <w:spacing w:after="0" w:line="240" w:lineRule="auto"/>
        <w:ind w:left="680"/>
        <w:jc w:val="both"/>
        <w:rPr>
          <w:rFonts w:ascii="Times New Roman" w:hAnsi="Times New Roman"/>
          <w:sz w:val="24"/>
          <w:szCs w:val="24"/>
        </w:rPr>
      </w:pPr>
      <w:r w:rsidRPr="004D7162">
        <w:rPr>
          <w:rFonts w:ascii="Times New Roman" w:hAnsi="Times New Roman"/>
          <w:sz w:val="24"/>
          <w:szCs w:val="24"/>
        </w:rPr>
        <w:t xml:space="preserve">H.C.L. nr. 157/31.10.2016 privind </w:t>
      </w:r>
      <w:r w:rsidRPr="004D7162">
        <w:rPr>
          <w:rFonts w:ascii="Times New Roman" w:hAnsi="Times New Roman"/>
          <w:bCs/>
          <w:color w:val="000000"/>
          <w:sz w:val="24"/>
          <w:szCs w:val="24"/>
          <w:lang w:eastAsia="en-US"/>
        </w:rPr>
        <w:t>declararea zonelor prioritare de protejare și intervenție asupra clădirilor din Municipiul Timișoara;</w:t>
      </w:r>
    </w:p>
    <w:p w14:paraId="11E4DF54" w14:textId="77777777" w:rsidR="00797EEA" w:rsidRPr="00797EEA" w:rsidRDefault="00797EEA" w:rsidP="00797EEA">
      <w:pPr>
        <w:pStyle w:val="ListParagraph"/>
        <w:numPr>
          <w:ilvl w:val="0"/>
          <w:numId w:val="1"/>
        </w:numPr>
        <w:jc w:val="both"/>
        <w:rPr>
          <w:rFonts w:ascii="Times New Roman" w:hAnsi="Times New Roman"/>
          <w:sz w:val="24"/>
          <w:szCs w:val="24"/>
        </w:rPr>
      </w:pPr>
      <w:r w:rsidRPr="00797EEA">
        <w:rPr>
          <w:rFonts w:ascii="Times New Roman" w:hAnsi="Times New Roman"/>
          <w:sz w:val="24"/>
          <w:szCs w:val="24"/>
        </w:rPr>
        <w:lastRenderedPageBreak/>
        <w:t>H.C.L. nr. 258/14.06.2022 privind aprobarea „Regulamentului pentru aplicarea Programului de sprijin financiar pentru creșterea calității arhitectural-ambientale a clădirilor din zonele prioritare de intervenție din Municipiul Timișoara”;</w:t>
      </w:r>
    </w:p>
    <w:p w14:paraId="538714D4" w14:textId="57158159" w:rsidR="00CE7C9B" w:rsidRPr="004D7162" w:rsidRDefault="00CE7C9B" w:rsidP="00797EEA">
      <w:pPr>
        <w:pStyle w:val="ListParagraph"/>
        <w:keepLines/>
        <w:suppressLineNumbers/>
        <w:suppressAutoHyphens/>
        <w:spacing w:after="0" w:line="240" w:lineRule="auto"/>
        <w:ind w:left="680"/>
        <w:jc w:val="both"/>
        <w:rPr>
          <w:rFonts w:ascii="Times New Roman" w:hAnsi="Times New Roman"/>
          <w:sz w:val="24"/>
          <w:szCs w:val="24"/>
        </w:rPr>
      </w:pPr>
    </w:p>
    <w:p w14:paraId="7DDB11A9" w14:textId="77777777" w:rsidR="007F490F" w:rsidRDefault="007F490F"/>
    <w:sectPr w:rsidR="007F490F" w:rsidSect="007F49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53A33"/>
    <w:multiLevelType w:val="hybridMultilevel"/>
    <w:tmpl w:val="F3163A60"/>
    <w:lvl w:ilvl="0" w:tplc="04090017">
      <w:start w:val="1"/>
      <w:numFmt w:val="lowerLetter"/>
      <w:lvlText w:val="%1)"/>
      <w:lvlJc w:val="left"/>
      <w:pPr>
        <w:ind w:left="927"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15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9B"/>
    <w:rsid w:val="00180BB8"/>
    <w:rsid w:val="00797EEA"/>
    <w:rsid w:val="007F490F"/>
    <w:rsid w:val="00CE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043E"/>
  <w15:chartTrackingRefBased/>
  <w15:docId w15:val="{7C00EEE0-428A-47E0-9ADC-36392FAB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99"/>
    <w:qFormat/>
    <w:rsid w:val="00CE7C9B"/>
    <w:pPr>
      <w:spacing w:after="160" w:line="259" w:lineRule="auto"/>
      <w:ind w:left="720"/>
      <w:contextualSpacing/>
    </w:pPr>
    <w:rPr>
      <w:rFonts w:ascii="Calibri" w:eastAsia="Malgun Gothic" w:hAnsi="Calibri"/>
      <w:sz w:val="22"/>
      <w:szCs w:val="22"/>
      <w:lang w:val="ro-RO" w:eastAsia="ko-KR"/>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99"/>
    <w:locked/>
    <w:rsid w:val="00CE7C9B"/>
    <w:rPr>
      <w:rFonts w:ascii="Calibri" w:eastAsia="Malgun Gothic" w:hAnsi="Calibri" w:cs="Times New Roman"/>
      <w:lang w:val="ro-RO"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518</Words>
  <Characters>3011</Characters>
  <Application>Microsoft Office Word</Application>
  <DocSecurity>0</DocSecurity>
  <Lines>25</Lines>
  <Paragraphs>7</Paragraphs>
  <ScaleCrop>false</ScaleCrop>
  <Company>Primaria Municipiului Timisoara</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Daniela TEICU</dc:creator>
  <cp:keywords/>
  <dc:description/>
  <cp:lastModifiedBy>Elena Daniela TEICU</cp:lastModifiedBy>
  <cp:revision>2</cp:revision>
  <dcterms:created xsi:type="dcterms:W3CDTF">2022-11-09T11:48:00Z</dcterms:created>
  <dcterms:modified xsi:type="dcterms:W3CDTF">2024-09-02T10:56:00Z</dcterms:modified>
</cp:coreProperties>
</file>