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87A67" w14:textId="77777777" w:rsidR="00FC1294" w:rsidRDefault="00FC1294" w:rsidP="00FC1294">
      <w:pPr>
        <w:autoSpaceDE w:val="0"/>
        <w:autoSpaceDN w:val="0"/>
        <w:adjustRightInd w:val="0"/>
        <w:rPr>
          <w:rFonts w:ascii="Tms Rmn" w:eastAsiaTheme="minorHAnsi" w:hAnsi="Tms Rmn"/>
          <w:lang w:val="ro-RO"/>
        </w:rPr>
      </w:pPr>
    </w:p>
    <w:tbl>
      <w:tblPr>
        <w:tblW w:w="5000" w:type="pct"/>
        <w:tblLayout w:type="fixed"/>
        <w:tblCellMar>
          <w:left w:w="0" w:type="dxa"/>
          <w:right w:w="0" w:type="dxa"/>
        </w:tblCellMar>
        <w:tblLook w:val="00BF" w:firstRow="1" w:lastRow="0" w:firstColumn="1" w:lastColumn="0" w:noHBand="0" w:noVBand="0"/>
      </w:tblPr>
      <w:tblGrid>
        <w:gridCol w:w="6842"/>
        <w:gridCol w:w="2518"/>
      </w:tblGrid>
      <w:tr w:rsidR="00FC1294" w14:paraId="64B3DA0C" w14:textId="77777777">
        <w:tc>
          <w:tcPr>
            <w:tcW w:w="3654" w:type="pct"/>
          </w:tcPr>
          <w:p w14:paraId="267C71E6" w14:textId="77777777" w:rsidR="00FC1294" w:rsidRDefault="00FC1294">
            <w:pPr>
              <w:keepNext/>
              <w:keepLines/>
              <w:autoSpaceDE w:val="0"/>
              <w:autoSpaceDN w:val="0"/>
              <w:adjustRightInd w:val="0"/>
              <w:rPr>
                <w:rFonts w:eastAsiaTheme="minorHAnsi"/>
                <w:b/>
                <w:bCs/>
                <w:color w:val="000000"/>
                <w:sz w:val="28"/>
                <w:szCs w:val="28"/>
                <w:lang w:val="ro-RO"/>
              </w:rPr>
            </w:pPr>
            <w:r>
              <w:rPr>
                <w:rFonts w:eastAsiaTheme="minorHAnsi"/>
                <w:b/>
                <w:bCs/>
                <w:color w:val="000000"/>
                <w:sz w:val="28"/>
                <w:szCs w:val="28"/>
                <w:lang w:val="ro-RO"/>
              </w:rPr>
              <w:t>ROMÂNIA</w:t>
            </w:r>
            <w:r>
              <w:rPr>
                <w:rFonts w:eastAsiaTheme="minorHAnsi"/>
                <w:b/>
                <w:bCs/>
                <w:color w:val="000000"/>
                <w:sz w:val="28"/>
                <w:szCs w:val="28"/>
                <w:lang w:val="ro-RO"/>
              </w:rPr>
              <w:br/>
              <w:t xml:space="preserve">JUDEŢUL TIMIŞ </w:t>
            </w:r>
            <w:r>
              <w:rPr>
                <w:rFonts w:eastAsiaTheme="minorHAnsi"/>
                <w:b/>
                <w:bCs/>
                <w:color w:val="000000"/>
                <w:sz w:val="28"/>
                <w:szCs w:val="28"/>
                <w:lang w:val="ro-RO"/>
              </w:rPr>
              <w:br/>
              <w:t>MUNICIPIUL TIMIŞOARA</w:t>
            </w:r>
            <w:r>
              <w:rPr>
                <w:rFonts w:eastAsiaTheme="minorHAnsi"/>
                <w:b/>
                <w:bCs/>
                <w:color w:val="000000"/>
                <w:sz w:val="28"/>
                <w:szCs w:val="28"/>
                <w:lang w:val="ro-RO"/>
              </w:rPr>
              <w:br/>
              <w:t>CONSILIUL LOCAL</w:t>
            </w:r>
          </w:p>
        </w:tc>
        <w:tc>
          <w:tcPr>
            <w:tcW w:w="1345" w:type="pct"/>
          </w:tcPr>
          <w:p w14:paraId="0F2A4C0A" w14:textId="77777777" w:rsidR="00FC1294" w:rsidRDefault="00FC1294">
            <w:pPr>
              <w:keepNext/>
              <w:keepLines/>
              <w:autoSpaceDE w:val="0"/>
              <w:autoSpaceDN w:val="0"/>
              <w:adjustRightInd w:val="0"/>
              <w:ind w:left="72" w:right="72"/>
              <w:jc w:val="center"/>
              <w:rPr>
                <w:rFonts w:eastAsiaTheme="minorHAnsi"/>
                <w:b/>
                <w:bCs/>
                <w:color w:val="000000"/>
                <w:sz w:val="28"/>
                <w:szCs w:val="28"/>
                <w:lang w:val="ro-RO"/>
              </w:rPr>
            </w:pPr>
          </w:p>
        </w:tc>
      </w:tr>
    </w:tbl>
    <w:p w14:paraId="62C0E3F6" w14:textId="77777777" w:rsidR="00FC1294" w:rsidRDefault="00FC1294" w:rsidP="00FC1294">
      <w:pPr>
        <w:autoSpaceDE w:val="0"/>
        <w:autoSpaceDN w:val="0"/>
        <w:adjustRightInd w:val="0"/>
        <w:rPr>
          <w:rFonts w:eastAsiaTheme="minorHAnsi"/>
          <w:b/>
          <w:bCs/>
          <w:color w:val="000000"/>
          <w:sz w:val="28"/>
          <w:szCs w:val="28"/>
          <w:lang w:val="ro-RO"/>
        </w:rPr>
      </w:pPr>
    </w:p>
    <w:p w14:paraId="1CF639E6" w14:textId="77777777" w:rsidR="00FC1294" w:rsidRDefault="00FC1294" w:rsidP="00FC1294">
      <w:pPr>
        <w:autoSpaceDE w:val="0"/>
        <w:autoSpaceDN w:val="0"/>
        <w:adjustRightInd w:val="0"/>
        <w:jc w:val="center"/>
        <w:rPr>
          <w:rFonts w:eastAsiaTheme="minorHAnsi"/>
          <w:b/>
          <w:bCs/>
          <w:color w:val="000000"/>
          <w:sz w:val="32"/>
          <w:szCs w:val="32"/>
          <w:lang w:val="ro-RO"/>
        </w:rPr>
      </w:pPr>
      <w:r>
        <w:rPr>
          <w:rFonts w:eastAsiaTheme="minorHAnsi"/>
          <w:b/>
          <w:bCs/>
          <w:color w:val="000000"/>
          <w:sz w:val="32"/>
          <w:szCs w:val="32"/>
          <w:lang w:val="ro-RO"/>
        </w:rPr>
        <w:t>HOTĂRÂREA NR. 513</w:t>
      </w:r>
    </w:p>
    <w:p w14:paraId="2D17E4C1" w14:textId="77777777" w:rsidR="00FC1294" w:rsidRDefault="00FC1294" w:rsidP="00FC1294">
      <w:pPr>
        <w:autoSpaceDE w:val="0"/>
        <w:autoSpaceDN w:val="0"/>
        <w:adjustRightInd w:val="0"/>
        <w:jc w:val="center"/>
        <w:rPr>
          <w:rFonts w:eastAsiaTheme="minorHAnsi"/>
          <w:b/>
          <w:bCs/>
          <w:color w:val="000000"/>
          <w:sz w:val="32"/>
          <w:szCs w:val="32"/>
          <w:lang w:val="ro-RO"/>
        </w:rPr>
      </w:pPr>
      <w:r>
        <w:rPr>
          <w:rFonts w:eastAsiaTheme="minorHAnsi"/>
          <w:b/>
          <w:bCs/>
          <w:color w:val="000000"/>
          <w:sz w:val="32"/>
          <w:szCs w:val="32"/>
          <w:lang w:val="ro-RO"/>
        </w:rPr>
        <w:t>din data: 25.10.2022</w:t>
      </w:r>
    </w:p>
    <w:p w14:paraId="08AF7C6F" w14:textId="77777777" w:rsidR="00FC1294" w:rsidRDefault="00FC1294" w:rsidP="00FC1294">
      <w:pPr>
        <w:autoSpaceDE w:val="0"/>
        <w:autoSpaceDN w:val="0"/>
        <w:adjustRightInd w:val="0"/>
        <w:jc w:val="center"/>
        <w:rPr>
          <w:rFonts w:eastAsiaTheme="minorHAnsi"/>
          <w:b/>
          <w:bCs/>
          <w:color w:val="000000"/>
          <w:lang w:val="ro-RO"/>
        </w:rPr>
      </w:pPr>
      <w:r>
        <w:rPr>
          <w:rFonts w:eastAsiaTheme="minorHAnsi"/>
          <w:b/>
          <w:bCs/>
          <w:color w:val="000000"/>
          <w:lang w:val="ro-RO"/>
        </w:rPr>
        <w:t xml:space="preserve"> Privind aprobarea criteriilor de </w:t>
      </w:r>
      <w:proofErr w:type="spellStart"/>
      <w:r>
        <w:rPr>
          <w:rFonts w:eastAsiaTheme="minorHAnsi"/>
          <w:b/>
          <w:bCs/>
          <w:color w:val="000000"/>
          <w:lang w:val="ro-RO"/>
        </w:rPr>
        <w:t>selecţie</w:t>
      </w:r>
      <w:proofErr w:type="spellEnd"/>
      <w:r>
        <w:rPr>
          <w:rFonts w:eastAsiaTheme="minorHAnsi"/>
          <w:b/>
          <w:bCs/>
          <w:color w:val="000000"/>
          <w:lang w:val="ro-RO"/>
        </w:rPr>
        <w:t xml:space="preserve"> pentru stabilirea ordinii de prioritate a blocurilor de </w:t>
      </w:r>
      <w:proofErr w:type="spellStart"/>
      <w:r>
        <w:rPr>
          <w:rFonts w:eastAsiaTheme="minorHAnsi"/>
          <w:b/>
          <w:bCs/>
          <w:color w:val="000000"/>
          <w:lang w:val="ro-RO"/>
        </w:rPr>
        <w:t>locuinţe</w:t>
      </w:r>
      <w:proofErr w:type="spellEnd"/>
      <w:r>
        <w:rPr>
          <w:rFonts w:eastAsiaTheme="minorHAnsi"/>
          <w:b/>
          <w:bCs/>
          <w:color w:val="000000"/>
          <w:lang w:val="ro-RO"/>
        </w:rPr>
        <w:t xml:space="preserve"> incluse în programele anuale de reabilitare termică </w:t>
      </w:r>
      <w:r>
        <w:rPr>
          <w:rFonts w:eastAsiaTheme="minorHAnsi"/>
          <w:b/>
          <w:bCs/>
          <w:color w:val="000000"/>
          <w:lang w:val="ro-RO"/>
        </w:rPr>
        <w:br/>
      </w:r>
    </w:p>
    <w:p w14:paraId="4F456A44" w14:textId="77777777" w:rsidR="00FC1294" w:rsidRDefault="00FC1294" w:rsidP="00FC1294">
      <w:pPr>
        <w:autoSpaceDE w:val="0"/>
        <w:autoSpaceDN w:val="0"/>
        <w:adjustRightInd w:val="0"/>
        <w:jc w:val="center"/>
        <w:rPr>
          <w:rFonts w:eastAsiaTheme="minorHAnsi"/>
          <w:b/>
          <w:bCs/>
          <w:color w:val="000000"/>
          <w:lang w:val="ro-RO"/>
        </w:rPr>
      </w:pPr>
    </w:p>
    <w:p w14:paraId="350A9888" w14:textId="77777777" w:rsidR="00FC1294" w:rsidRDefault="00FC1294" w:rsidP="00FC1294">
      <w:pPr>
        <w:autoSpaceDE w:val="0"/>
        <w:autoSpaceDN w:val="0"/>
        <w:adjustRightInd w:val="0"/>
        <w:rPr>
          <w:rFonts w:ascii="Tms Rmn" w:eastAsiaTheme="minorHAnsi" w:hAnsi="Tms Rmn" w:cs="Tms Rmn"/>
          <w:b/>
          <w:bCs/>
          <w:color w:val="000000"/>
          <w:lang w:val="ro-RO"/>
        </w:rPr>
      </w:pPr>
      <w:r>
        <w:rPr>
          <w:rFonts w:eastAsiaTheme="minorHAnsi"/>
          <w:b/>
          <w:bCs/>
          <w:color w:val="000000"/>
          <w:lang w:val="ro-RO"/>
        </w:rPr>
        <w:t xml:space="preserve">        Consiliul Local al Municipiului </w:t>
      </w:r>
      <w:proofErr w:type="spellStart"/>
      <w:r>
        <w:rPr>
          <w:rFonts w:eastAsiaTheme="minorHAnsi"/>
          <w:b/>
          <w:bCs/>
          <w:color w:val="000000"/>
          <w:lang w:val="ro-RO"/>
        </w:rPr>
        <w:t>Timişoara</w:t>
      </w:r>
      <w:proofErr w:type="spellEnd"/>
      <w:r>
        <w:rPr>
          <w:rFonts w:ascii="Tms Rmn" w:eastAsiaTheme="minorHAnsi" w:hAnsi="Tms Rmn" w:cs="Tms Rmn"/>
          <w:b/>
          <w:bCs/>
          <w:color w:val="000000"/>
          <w:lang w:val="ro-RO"/>
        </w:rPr>
        <w:t xml:space="preserve"> </w:t>
      </w:r>
    </w:p>
    <w:p w14:paraId="728A6D79" w14:textId="77777777" w:rsidR="00FC1294" w:rsidRDefault="00FC1294" w:rsidP="00FC1294">
      <w:pPr>
        <w:autoSpaceDE w:val="0"/>
        <w:autoSpaceDN w:val="0"/>
        <w:adjustRightInd w:val="0"/>
        <w:rPr>
          <w:rFonts w:eastAsiaTheme="minorHAnsi"/>
          <w:color w:val="000000"/>
          <w:lang w:val="ro-RO"/>
        </w:rPr>
      </w:pPr>
      <w:r>
        <w:rPr>
          <w:rFonts w:eastAsiaTheme="minorHAnsi"/>
          <w:color w:val="000000"/>
          <w:lang w:val="ro-RO"/>
        </w:rPr>
        <w:tab/>
        <w:t xml:space="preserve">Având în vedere Referatul de aprobare a proiectului de hotărâre, nr. SC2022-21123/25.08.2022, al Primarului Municipiului </w:t>
      </w:r>
      <w:proofErr w:type="spellStart"/>
      <w:r>
        <w:rPr>
          <w:rFonts w:eastAsiaTheme="minorHAnsi"/>
          <w:color w:val="000000"/>
          <w:lang w:val="ro-RO"/>
        </w:rPr>
        <w:t>Timişoara</w:t>
      </w:r>
      <w:proofErr w:type="spellEnd"/>
      <w:r>
        <w:rPr>
          <w:rFonts w:eastAsiaTheme="minorHAnsi"/>
          <w:color w:val="000000"/>
          <w:lang w:val="ro-RO"/>
        </w:rPr>
        <w:t>, domnul Dominic Fritz;</w:t>
      </w:r>
      <w:r>
        <w:rPr>
          <w:rFonts w:eastAsiaTheme="minorHAnsi"/>
          <w:color w:val="000000"/>
          <w:lang w:val="ro-RO"/>
        </w:rPr>
        <w:br/>
      </w:r>
      <w:r>
        <w:rPr>
          <w:rFonts w:eastAsiaTheme="minorHAnsi"/>
          <w:color w:val="000000"/>
          <w:lang w:val="ro-RO"/>
        </w:rPr>
        <w:tab/>
        <w:t>Având în vedere Raportul de specialitate nr. SC2022-21123/25.08.2022 al Biroului Eficientizare Energetică Blocuri din cadrul Primăriei Municipiului Timișoara;</w:t>
      </w:r>
    </w:p>
    <w:p w14:paraId="4396B384" w14:textId="77777777" w:rsidR="00FC1294" w:rsidRDefault="00FC1294" w:rsidP="00FC1294">
      <w:pPr>
        <w:autoSpaceDE w:val="0"/>
        <w:autoSpaceDN w:val="0"/>
        <w:adjustRightInd w:val="0"/>
        <w:rPr>
          <w:rFonts w:eastAsiaTheme="minorHAnsi"/>
          <w:color w:val="000000"/>
          <w:lang w:val="ro-RO"/>
        </w:rPr>
      </w:pPr>
      <w:r>
        <w:rPr>
          <w:rFonts w:eastAsiaTheme="minorHAnsi"/>
          <w:color w:val="000000"/>
          <w:lang w:val="ro-RO"/>
        </w:rPr>
        <w:tab/>
        <w:t>Având în vedere adresa Direcției Economice nr. SC2022-21123/06.09.2022;</w:t>
      </w:r>
      <w:r>
        <w:rPr>
          <w:rFonts w:eastAsiaTheme="minorHAnsi"/>
          <w:color w:val="000000"/>
          <w:lang w:val="ro-RO"/>
        </w:rPr>
        <w:br/>
      </w:r>
      <w:r>
        <w:rPr>
          <w:rFonts w:eastAsiaTheme="minorHAnsi"/>
          <w:color w:val="000000"/>
          <w:lang w:val="ro-RO"/>
        </w:rPr>
        <w:tab/>
        <w:t>Având în vedere Avizul Serviciului Juridic din data de 07.09.2022 -Anexă la Raportul de specialitate nr. SC2022-21123/25.08.2022;</w:t>
      </w:r>
    </w:p>
    <w:p w14:paraId="0771B2D6" w14:textId="77777777" w:rsidR="00FC1294" w:rsidRDefault="00FC1294" w:rsidP="00FC1294">
      <w:pPr>
        <w:autoSpaceDE w:val="0"/>
        <w:autoSpaceDN w:val="0"/>
        <w:adjustRightInd w:val="0"/>
        <w:rPr>
          <w:rFonts w:eastAsiaTheme="minorHAnsi"/>
          <w:color w:val="000000"/>
          <w:lang w:val="ro-RO"/>
        </w:rPr>
      </w:pPr>
      <w:r>
        <w:rPr>
          <w:rFonts w:eastAsiaTheme="minorHAnsi"/>
          <w:color w:val="000000"/>
          <w:lang w:val="ro-RO"/>
        </w:rPr>
        <w:tab/>
        <w:t>Având în vedere Hotărârea Consiliului Local al Municipiului Timișoara nr. 208/15.06.2021 - privind  aprobarea Regulamentului de organizare și funcționare a Consiliului Local al Municipiului Timișoara;</w:t>
      </w:r>
    </w:p>
    <w:p w14:paraId="2FE67417" w14:textId="77777777" w:rsidR="00FC1294" w:rsidRDefault="00FC1294" w:rsidP="00FC1294">
      <w:pPr>
        <w:autoSpaceDE w:val="0"/>
        <w:autoSpaceDN w:val="0"/>
        <w:adjustRightInd w:val="0"/>
        <w:rPr>
          <w:rFonts w:eastAsiaTheme="minorHAnsi"/>
          <w:color w:val="000000"/>
          <w:lang w:val="ro-RO"/>
        </w:rPr>
      </w:pPr>
      <w:r>
        <w:rPr>
          <w:rFonts w:eastAsiaTheme="minorHAnsi"/>
          <w:color w:val="000000"/>
          <w:lang w:val="ro-RO"/>
        </w:rPr>
        <w:tab/>
        <w:t xml:space="preserve">Având în vedere Procesele Verbale de avizare ale Comisiei pentru studii, prognoze, economie, buget, finanțe, impozite și </w:t>
      </w:r>
      <w:proofErr w:type="spellStart"/>
      <w:r>
        <w:rPr>
          <w:rFonts w:eastAsiaTheme="minorHAnsi"/>
          <w:color w:val="000000"/>
          <w:lang w:val="ro-RO"/>
        </w:rPr>
        <w:t>atxe</w:t>
      </w:r>
      <w:proofErr w:type="spellEnd"/>
      <w:r>
        <w:rPr>
          <w:rFonts w:eastAsiaTheme="minorHAnsi"/>
          <w:color w:val="000000"/>
          <w:lang w:val="ro-RO"/>
        </w:rPr>
        <w:t xml:space="preserve">, Comisiei pentru </w:t>
      </w:r>
      <w:proofErr w:type="spellStart"/>
      <w:r>
        <w:rPr>
          <w:rFonts w:eastAsiaTheme="minorHAnsi"/>
          <w:color w:val="000000"/>
          <w:lang w:val="ro-RO"/>
        </w:rPr>
        <w:t>dezvolatre</w:t>
      </w:r>
      <w:proofErr w:type="spellEnd"/>
      <w:r>
        <w:rPr>
          <w:rFonts w:eastAsiaTheme="minorHAnsi"/>
          <w:color w:val="000000"/>
          <w:lang w:val="ro-RO"/>
        </w:rPr>
        <w:t xml:space="preserve"> urbanistică, amenajarea teritoriului și patrimoniu, Comisiei pentru administrarea domeniului public și privat, servicii publice și comerț, regii autonome și societăți comerciale și Avizul Comisiei pentru administrație locală, juridică, ordine publică, drepturile omului și probleme ale minorităților, din cadrul Consiliului Local al Municipiului Timișoara;</w:t>
      </w:r>
    </w:p>
    <w:p w14:paraId="3700609C" w14:textId="77777777" w:rsidR="00FC1294" w:rsidRDefault="00FC1294" w:rsidP="00FC1294">
      <w:pPr>
        <w:autoSpaceDE w:val="0"/>
        <w:autoSpaceDN w:val="0"/>
        <w:adjustRightInd w:val="0"/>
        <w:rPr>
          <w:rFonts w:eastAsiaTheme="minorHAnsi"/>
          <w:color w:val="000000"/>
          <w:lang w:val="ro-RO"/>
        </w:rPr>
      </w:pPr>
      <w:r>
        <w:rPr>
          <w:rFonts w:eastAsiaTheme="minorHAnsi"/>
          <w:color w:val="000000"/>
          <w:lang w:val="ro-RO"/>
        </w:rPr>
        <w:tab/>
        <w:t xml:space="preserve">Având în vedere Ordonanța de Urgență a Guvernului nr. 18/04.03.2009 cu modificările și completările ulterioare, privind </w:t>
      </w:r>
      <w:proofErr w:type="spellStart"/>
      <w:r>
        <w:rPr>
          <w:rFonts w:eastAsiaTheme="minorHAnsi"/>
          <w:color w:val="000000"/>
          <w:lang w:val="ro-RO"/>
        </w:rPr>
        <w:t>creşterea</w:t>
      </w:r>
      <w:proofErr w:type="spellEnd"/>
      <w:r>
        <w:rPr>
          <w:rFonts w:eastAsiaTheme="minorHAnsi"/>
          <w:color w:val="000000"/>
          <w:lang w:val="ro-RO"/>
        </w:rPr>
        <w:t xml:space="preserve"> </w:t>
      </w:r>
      <w:proofErr w:type="spellStart"/>
      <w:r>
        <w:rPr>
          <w:rFonts w:eastAsiaTheme="minorHAnsi"/>
          <w:color w:val="000000"/>
          <w:lang w:val="ro-RO"/>
        </w:rPr>
        <w:t>performanţei</w:t>
      </w:r>
      <w:proofErr w:type="spellEnd"/>
      <w:r>
        <w:rPr>
          <w:rFonts w:eastAsiaTheme="minorHAnsi"/>
          <w:color w:val="000000"/>
          <w:lang w:val="ro-RO"/>
        </w:rPr>
        <w:t xml:space="preserve"> energetice a blocurilor de </w:t>
      </w:r>
      <w:proofErr w:type="spellStart"/>
      <w:r>
        <w:rPr>
          <w:rFonts w:eastAsiaTheme="minorHAnsi"/>
          <w:color w:val="000000"/>
          <w:lang w:val="ro-RO"/>
        </w:rPr>
        <w:t>locuinţe</w:t>
      </w:r>
      <w:proofErr w:type="spellEnd"/>
      <w:r>
        <w:rPr>
          <w:rFonts w:eastAsiaTheme="minorHAnsi"/>
          <w:color w:val="000000"/>
          <w:lang w:val="ro-RO"/>
        </w:rPr>
        <w:t>;</w:t>
      </w:r>
      <w:r>
        <w:rPr>
          <w:rFonts w:eastAsiaTheme="minorHAnsi"/>
          <w:color w:val="000000"/>
          <w:lang w:val="ro-RO"/>
        </w:rPr>
        <w:br/>
      </w:r>
      <w:r>
        <w:rPr>
          <w:rFonts w:eastAsiaTheme="minorHAnsi"/>
          <w:color w:val="000000"/>
          <w:lang w:val="ro-RO"/>
        </w:rPr>
        <w:tab/>
        <w:t xml:space="preserve">În conformitate cu prevederile art. 129,  alin. (2), lit. b) și alin. (4), lit. e) din Ordonanța de Urgență a Guvernului nr. 57/2019 </w:t>
      </w:r>
      <w:proofErr w:type="spellStart"/>
      <w:r>
        <w:rPr>
          <w:rFonts w:eastAsiaTheme="minorHAnsi"/>
          <w:color w:val="000000"/>
          <w:lang w:val="ro-RO"/>
        </w:rPr>
        <w:t>prinvind</w:t>
      </w:r>
      <w:proofErr w:type="spellEnd"/>
      <w:r>
        <w:rPr>
          <w:rFonts w:eastAsiaTheme="minorHAnsi"/>
          <w:color w:val="000000"/>
          <w:lang w:val="ro-RO"/>
        </w:rPr>
        <w:t xml:space="preserve"> Codul administrativ, cu modificările și completările ulterioare;</w:t>
      </w:r>
    </w:p>
    <w:p w14:paraId="24871ABD" w14:textId="77777777" w:rsidR="00FC1294" w:rsidRDefault="00FC1294" w:rsidP="00FC1294">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HAnsi"/>
          <w:color w:val="000000"/>
          <w:lang w:val="ro-RO"/>
        </w:rPr>
      </w:pPr>
      <w:r>
        <w:rPr>
          <w:rFonts w:eastAsiaTheme="minorHAnsi"/>
          <w:color w:val="000000"/>
          <w:lang w:val="ro-RO"/>
        </w:rPr>
        <w:tab/>
        <w:t xml:space="preserve">În temeiul prevederilor art. 139 alin. (1) și alin. (3) si art. 196, alin. (1), </w:t>
      </w:r>
      <w:proofErr w:type="spellStart"/>
      <w:r>
        <w:rPr>
          <w:rFonts w:eastAsiaTheme="minorHAnsi"/>
          <w:color w:val="000000"/>
          <w:lang w:val="ro-RO"/>
        </w:rPr>
        <w:t>lit</w:t>
      </w:r>
      <w:proofErr w:type="spellEnd"/>
      <w:r>
        <w:rPr>
          <w:rFonts w:eastAsiaTheme="minorHAnsi"/>
          <w:color w:val="000000"/>
          <w:lang w:val="ro-RO"/>
        </w:rPr>
        <w:t xml:space="preserve"> a) din Ordonanța de Urgență a  Guvernului nr. 57/2019 </w:t>
      </w:r>
      <w:proofErr w:type="spellStart"/>
      <w:r>
        <w:rPr>
          <w:rFonts w:eastAsiaTheme="minorHAnsi"/>
          <w:color w:val="000000"/>
          <w:lang w:val="ro-RO"/>
        </w:rPr>
        <w:t>prinvind</w:t>
      </w:r>
      <w:proofErr w:type="spellEnd"/>
      <w:r>
        <w:rPr>
          <w:rFonts w:eastAsiaTheme="minorHAnsi"/>
          <w:color w:val="000000"/>
          <w:lang w:val="ro-RO"/>
        </w:rPr>
        <w:t xml:space="preserve"> Codul administrativ, cu modificările și completările ulterioare;</w:t>
      </w:r>
    </w:p>
    <w:p w14:paraId="6E1984DF" w14:textId="77777777" w:rsidR="00FC1294" w:rsidRDefault="00FC1294" w:rsidP="00FC1294">
      <w:pPr>
        <w:autoSpaceDE w:val="0"/>
        <w:autoSpaceDN w:val="0"/>
        <w:adjustRightInd w:val="0"/>
        <w:jc w:val="center"/>
        <w:rPr>
          <w:rFonts w:eastAsiaTheme="minorHAnsi"/>
          <w:b/>
          <w:bCs/>
          <w:color w:val="000000"/>
          <w:sz w:val="32"/>
          <w:szCs w:val="32"/>
          <w:lang w:val="ro-RO"/>
        </w:rPr>
      </w:pPr>
      <w:r>
        <w:rPr>
          <w:rFonts w:eastAsiaTheme="minorHAnsi"/>
          <w:b/>
          <w:bCs/>
          <w:color w:val="000000"/>
          <w:sz w:val="32"/>
          <w:szCs w:val="32"/>
          <w:lang w:val="ro-RO"/>
        </w:rPr>
        <w:t>H O T Ă R Ă Ş T E :</w:t>
      </w:r>
    </w:p>
    <w:p w14:paraId="640B5266" w14:textId="77777777" w:rsidR="00FC1294" w:rsidRDefault="00FC1294" w:rsidP="00FC1294">
      <w:pPr>
        <w:autoSpaceDE w:val="0"/>
        <w:autoSpaceDN w:val="0"/>
        <w:adjustRightInd w:val="0"/>
        <w:rPr>
          <w:rFonts w:eastAsiaTheme="minorHAnsi"/>
          <w:color w:val="000000"/>
          <w:lang w:val="ro-RO"/>
        </w:rPr>
      </w:pPr>
      <w:r>
        <w:rPr>
          <w:rFonts w:eastAsiaTheme="minorHAnsi"/>
          <w:b/>
          <w:bCs/>
          <w:color w:val="000000"/>
          <w:lang w:val="ro-RO"/>
        </w:rPr>
        <w:t>Art. 1:</w:t>
      </w:r>
      <w:r>
        <w:rPr>
          <w:rFonts w:eastAsiaTheme="minorHAnsi"/>
          <w:color w:val="000000"/>
          <w:lang w:val="ro-RO"/>
        </w:rPr>
        <w:t xml:space="preserve"> Se aprobă </w:t>
      </w:r>
      <w:r>
        <w:rPr>
          <w:rFonts w:eastAsiaTheme="minorHAnsi"/>
          <w:color w:val="000000"/>
          <w:sz w:val="22"/>
          <w:szCs w:val="22"/>
          <w:lang w:val="ro-RO"/>
        </w:rPr>
        <w:t xml:space="preserve">criteriile de </w:t>
      </w:r>
      <w:proofErr w:type="spellStart"/>
      <w:r>
        <w:rPr>
          <w:rFonts w:eastAsiaTheme="minorHAnsi"/>
          <w:color w:val="000000"/>
          <w:sz w:val="22"/>
          <w:szCs w:val="22"/>
          <w:lang w:val="ro-RO"/>
        </w:rPr>
        <w:t>selecţie</w:t>
      </w:r>
      <w:proofErr w:type="spellEnd"/>
      <w:r>
        <w:rPr>
          <w:rFonts w:eastAsiaTheme="minorHAnsi"/>
          <w:color w:val="000000"/>
          <w:sz w:val="22"/>
          <w:szCs w:val="22"/>
          <w:lang w:val="ro-RO"/>
        </w:rPr>
        <w:t xml:space="preserve"> pentru stabilirea ordinii de prioritate a blocurilor de </w:t>
      </w:r>
      <w:proofErr w:type="spellStart"/>
      <w:r>
        <w:rPr>
          <w:rFonts w:eastAsiaTheme="minorHAnsi"/>
          <w:color w:val="000000"/>
          <w:sz w:val="22"/>
          <w:szCs w:val="22"/>
          <w:lang w:val="ro-RO"/>
        </w:rPr>
        <w:t>locuinţe</w:t>
      </w:r>
      <w:proofErr w:type="spellEnd"/>
      <w:r>
        <w:rPr>
          <w:rFonts w:eastAsiaTheme="minorHAnsi"/>
          <w:color w:val="000000"/>
          <w:sz w:val="22"/>
          <w:szCs w:val="22"/>
          <w:lang w:val="ro-RO"/>
        </w:rPr>
        <w:t xml:space="preserve"> incluse în programele anuale de reabilitare termică</w:t>
      </w:r>
      <w:r>
        <w:rPr>
          <w:rFonts w:eastAsiaTheme="minorHAnsi"/>
          <w:color w:val="000000"/>
          <w:lang w:val="ro-RO"/>
        </w:rPr>
        <w:t>.</w:t>
      </w:r>
    </w:p>
    <w:p w14:paraId="216508C5" w14:textId="77777777" w:rsidR="00FC1294" w:rsidRDefault="00FC1294" w:rsidP="00FC1294">
      <w:pPr>
        <w:autoSpaceDE w:val="0"/>
        <w:autoSpaceDN w:val="0"/>
        <w:adjustRightInd w:val="0"/>
        <w:rPr>
          <w:rFonts w:eastAsiaTheme="minorHAnsi"/>
          <w:color w:val="000000"/>
          <w:lang w:val="ro-RO"/>
        </w:rPr>
      </w:pPr>
      <w:r>
        <w:rPr>
          <w:rFonts w:eastAsiaTheme="minorHAnsi"/>
          <w:b/>
          <w:bCs/>
          <w:color w:val="000000"/>
          <w:lang w:val="ro-RO"/>
        </w:rPr>
        <w:t xml:space="preserve"> Art. 2: </w:t>
      </w:r>
      <w:proofErr w:type="spellStart"/>
      <w:r>
        <w:rPr>
          <w:rFonts w:eastAsiaTheme="minorHAnsi"/>
          <w:color w:val="000000"/>
          <w:lang w:val="ro-RO"/>
        </w:rPr>
        <w:t>Prioritizarea</w:t>
      </w:r>
      <w:proofErr w:type="spellEnd"/>
      <w:r>
        <w:rPr>
          <w:rFonts w:eastAsiaTheme="minorHAnsi"/>
          <w:color w:val="000000"/>
          <w:lang w:val="ro-RO"/>
        </w:rPr>
        <w:t xml:space="preserve"> listei cu blocurile propuse pentru includerea în programele anuale se va realiza pe baza ponderii criteriilor de selecție conform </w:t>
      </w:r>
      <w:r>
        <w:rPr>
          <w:rFonts w:eastAsiaTheme="minorHAnsi"/>
          <w:b/>
          <w:bCs/>
          <w:color w:val="000000"/>
          <w:lang w:val="ro-RO"/>
        </w:rPr>
        <w:t>Anexei</w:t>
      </w:r>
      <w:r>
        <w:rPr>
          <w:rFonts w:eastAsiaTheme="minorHAnsi"/>
          <w:color w:val="000000"/>
          <w:lang w:val="ro-RO"/>
        </w:rPr>
        <w:t xml:space="preserve"> care face parte integrantă din prezenta hotărâre.</w:t>
      </w:r>
    </w:p>
    <w:p w14:paraId="3C0E2EC1" w14:textId="77777777" w:rsidR="00FC1294" w:rsidRDefault="00FC1294" w:rsidP="00FC1294">
      <w:pPr>
        <w:autoSpaceDE w:val="0"/>
        <w:autoSpaceDN w:val="0"/>
        <w:adjustRightInd w:val="0"/>
        <w:rPr>
          <w:rFonts w:eastAsiaTheme="minorHAnsi"/>
          <w:color w:val="000000"/>
          <w:lang w:val="ro-RO"/>
        </w:rPr>
      </w:pPr>
      <w:r>
        <w:rPr>
          <w:rFonts w:eastAsiaTheme="minorHAnsi"/>
          <w:b/>
          <w:bCs/>
          <w:color w:val="000000"/>
          <w:lang w:val="ro-RO"/>
        </w:rPr>
        <w:t xml:space="preserve"> Art. 3:</w:t>
      </w:r>
      <w:r>
        <w:rPr>
          <w:rFonts w:eastAsiaTheme="minorHAnsi"/>
          <w:color w:val="000000"/>
          <w:lang w:val="ro-RO"/>
        </w:rPr>
        <w:t xml:space="preserve"> Cu aducerea la îndeplinire a prezentei hotărâri se </w:t>
      </w:r>
      <w:proofErr w:type="spellStart"/>
      <w:r>
        <w:rPr>
          <w:rFonts w:eastAsiaTheme="minorHAnsi"/>
          <w:color w:val="000000"/>
          <w:lang w:val="ro-RO"/>
        </w:rPr>
        <w:t>încredinţează</w:t>
      </w:r>
      <w:proofErr w:type="spellEnd"/>
      <w:r>
        <w:rPr>
          <w:rFonts w:eastAsiaTheme="minorHAnsi"/>
          <w:color w:val="000000"/>
          <w:lang w:val="ro-RO"/>
        </w:rPr>
        <w:t xml:space="preserve"> Biroul Eficientizare Energetică Blocuri din cadrul Primăriei Municipiului </w:t>
      </w:r>
      <w:proofErr w:type="spellStart"/>
      <w:r>
        <w:rPr>
          <w:rFonts w:eastAsiaTheme="minorHAnsi"/>
          <w:color w:val="000000"/>
          <w:lang w:val="ro-RO"/>
        </w:rPr>
        <w:t>Timişoara</w:t>
      </w:r>
      <w:proofErr w:type="spellEnd"/>
      <w:r>
        <w:rPr>
          <w:rFonts w:eastAsiaTheme="minorHAnsi"/>
          <w:color w:val="000000"/>
          <w:lang w:val="ro-RO"/>
        </w:rPr>
        <w:t>.</w:t>
      </w:r>
      <w:r>
        <w:rPr>
          <w:rFonts w:eastAsiaTheme="minorHAnsi"/>
          <w:color w:val="000000"/>
          <w:lang w:val="ro-RO"/>
        </w:rPr>
        <w:br/>
        <w:t xml:space="preserve"> </w:t>
      </w:r>
      <w:r>
        <w:rPr>
          <w:rFonts w:eastAsiaTheme="minorHAnsi"/>
          <w:b/>
          <w:bCs/>
          <w:color w:val="000000"/>
          <w:lang w:val="ro-RO"/>
        </w:rPr>
        <w:t xml:space="preserve">Art. 4: </w:t>
      </w:r>
      <w:r>
        <w:rPr>
          <w:rFonts w:eastAsiaTheme="minorHAnsi"/>
          <w:color w:val="000000"/>
          <w:lang w:val="ro-RO"/>
        </w:rPr>
        <w:t xml:space="preserve">Prezenta hotărâre se publică pe site-ul propriu </w:t>
      </w:r>
      <w:proofErr w:type="spellStart"/>
      <w:r>
        <w:rPr>
          <w:rFonts w:eastAsiaTheme="minorHAnsi"/>
          <w:color w:val="000000"/>
          <w:lang w:val="ro-RO"/>
        </w:rPr>
        <w:t>şi</w:t>
      </w:r>
      <w:proofErr w:type="spellEnd"/>
      <w:r>
        <w:rPr>
          <w:rFonts w:eastAsiaTheme="minorHAnsi"/>
          <w:color w:val="000000"/>
          <w:lang w:val="ro-RO"/>
        </w:rPr>
        <w:t xml:space="preserve"> totodată, se comunică:</w:t>
      </w:r>
      <w:r>
        <w:rPr>
          <w:rFonts w:eastAsiaTheme="minorHAnsi"/>
          <w:color w:val="000000"/>
          <w:lang w:val="ro-RO"/>
        </w:rPr>
        <w:br/>
      </w:r>
      <w:r>
        <w:rPr>
          <w:rFonts w:eastAsiaTheme="minorHAnsi"/>
          <w:color w:val="000000"/>
          <w:lang w:val="ro-RO"/>
        </w:rPr>
        <w:tab/>
        <w:t xml:space="preserve">- </w:t>
      </w:r>
      <w:proofErr w:type="spellStart"/>
      <w:r>
        <w:rPr>
          <w:rFonts w:eastAsiaTheme="minorHAnsi"/>
          <w:color w:val="000000"/>
          <w:lang w:val="ro-RO"/>
        </w:rPr>
        <w:t>Instituţiei</w:t>
      </w:r>
      <w:proofErr w:type="spellEnd"/>
      <w:r>
        <w:rPr>
          <w:rFonts w:eastAsiaTheme="minorHAnsi"/>
          <w:color w:val="000000"/>
          <w:lang w:val="ro-RO"/>
        </w:rPr>
        <w:t xml:space="preserve"> Prefectului - </w:t>
      </w:r>
      <w:proofErr w:type="spellStart"/>
      <w:r>
        <w:rPr>
          <w:rFonts w:eastAsiaTheme="minorHAnsi"/>
          <w:color w:val="000000"/>
          <w:lang w:val="ro-RO"/>
        </w:rPr>
        <w:t>Judeţul</w:t>
      </w:r>
      <w:proofErr w:type="spellEnd"/>
      <w:r>
        <w:rPr>
          <w:rFonts w:eastAsiaTheme="minorHAnsi"/>
          <w:color w:val="000000"/>
          <w:lang w:val="ro-RO"/>
        </w:rPr>
        <w:t xml:space="preserve"> </w:t>
      </w:r>
      <w:proofErr w:type="spellStart"/>
      <w:r>
        <w:rPr>
          <w:rFonts w:eastAsiaTheme="minorHAnsi"/>
          <w:color w:val="000000"/>
          <w:lang w:val="ro-RO"/>
        </w:rPr>
        <w:t>Timiş</w:t>
      </w:r>
      <w:proofErr w:type="spellEnd"/>
      <w:r>
        <w:rPr>
          <w:rFonts w:eastAsiaTheme="minorHAnsi"/>
          <w:color w:val="000000"/>
          <w:lang w:val="ro-RO"/>
        </w:rPr>
        <w:t>;</w:t>
      </w:r>
      <w:r>
        <w:rPr>
          <w:rFonts w:eastAsiaTheme="minorHAnsi"/>
          <w:color w:val="000000"/>
          <w:lang w:val="ro-RO"/>
        </w:rPr>
        <w:br/>
      </w:r>
      <w:r>
        <w:rPr>
          <w:rFonts w:eastAsiaTheme="minorHAnsi"/>
          <w:color w:val="000000"/>
          <w:lang w:val="ro-RO"/>
        </w:rPr>
        <w:lastRenderedPageBreak/>
        <w:tab/>
        <w:t xml:space="preserve">- Primarului Municipiului </w:t>
      </w:r>
      <w:proofErr w:type="spellStart"/>
      <w:r>
        <w:rPr>
          <w:rFonts w:eastAsiaTheme="minorHAnsi"/>
          <w:color w:val="000000"/>
          <w:lang w:val="ro-RO"/>
        </w:rPr>
        <w:t>Timişoara</w:t>
      </w:r>
      <w:proofErr w:type="spellEnd"/>
      <w:r>
        <w:rPr>
          <w:rFonts w:eastAsiaTheme="minorHAnsi"/>
          <w:color w:val="000000"/>
          <w:lang w:val="ro-RO"/>
        </w:rPr>
        <w:t>;</w:t>
      </w:r>
      <w:r>
        <w:rPr>
          <w:rFonts w:eastAsiaTheme="minorHAnsi"/>
          <w:color w:val="000000"/>
          <w:lang w:val="ro-RO"/>
        </w:rPr>
        <w:br/>
      </w:r>
      <w:r>
        <w:rPr>
          <w:rFonts w:eastAsiaTheme="minorHAnsi"/>
          <w:color w:val="000000"/>
          <w:lang w:val="ro-RO"/>
        </w:rPr>
        <w:tab/>
        <w:t xml:space="preserve">- </w:t>
      </w:r>
      <w:proofErr w:type="spellStart"/>
      <w:r>
        <w:rPr>
          <w:rFonts w:eastAsiaTheme="minorHAnsi"/>
          <w:color w:val="000000"/>
          <w:lang w:val="ro-RO"/>
        </w:rPr>
        <w:t>Direcţiilor</w:t>
      </w:r>
      <w:proofErr w:type="spellEnd"/>
      <w:r>
        <w:rPr>
          <w:rFonts w:eastAsiaTheme="minorHAnsi"/>
          <w:color w:val="000000"/>
          <w:lang w:val="ro-RO"/>
        </w:rPr>
        <w:t xml:space="preserve">, Serviciilor, Birourilor, Compartimentelor - din cadrul aparatului </w:t>
      </w:r>
    </w:p>
    <w:p w14:paraId="07247D01" w14:textId="77777777" w:rsidR="00FC1294" w:rsidRDefault="00FC1294" w:rsidP="00FC1294">
      <w:pPr>
        <w:autoSpaceDE w:val="0"/>
        <w:autoSpaceDN w:val="0"/>
        <w:adjustRightInd w:val="0"/>
        <w:rPr>
          <w:rFonts w:eastAsiaTheme="minorHAnsi"/>
          <w:color w:val="000000"/>
          <w:lang w:val="ro-RO"/>
        </w:rPr>
      </w:pPr>
      <w:r>
        <w:rPr>
          <w:rFonts w:eastAsiaTheme="minorHAnsi"/>
          <w:color w:val="000000"/>
          <w:lang w:val="ro-RO"/>
        </w:rPr>
        <w:t xml:space="preserve">              de specialitate al Primarului;</w:t>
      </w:r>
      <w:r>
        <w:rPr>
          <w:rFonts w:eastAsiaTheme="minorHAnsi"/>
          <w:color w:val="000000"/>
          <w:lang w:val="ro-RO"/>
        </w:rPr>
        <w:tab/>
        <w:t xml:space="preserve">     </w:t>
      </w:r>
      <w:r>
        <w:rPr>
          <w:rFonts w:eastAsiaTheme="minorHAnsi"/>
          <w:color w:val="000000"/>
          <w:lang w:val="ro-RO"/>
        </w:rPr>
        <w:br/>
      </w:r>
      <w:r>
        <w:rPr>
          <w:rFonts w:eastAsiaTheme="minorHAnsi"/>
          <w:color w:val="000000"/>
          <w:lang w:val="ro-RO"/>
        </w:rPr>
        <w:tab/>
        <w:t>- Mass-media locale.</w:t>
      </w:r>
    </w:p>
    <w:p w14:paraId="1DDC4F81" w14:textId="77777777" w:rsidR="00FC1294" w:rsidRDefault="00FC1294" w:rsidP="00FC1294">
      <w:pPr>
        <w:autoSpaceDE w:val="0"/>
        <w:autoSpaceDN w:val="0"/>
        <w:adjustRightInd w:val="0"/>
        <w:rPr>
          <w:rFonts w:eastAsiaTheme="minorHAnsi"/>
          <w:color w:val="000000"/>
          <w:lang w:val="ro-RO"/>
        </w:rPr>
      </w:pPr>
    </w:p>
    <w:p w14:paraId="27E2CDEC" w14:textId="77777777" w:rsidR="00FC1294" w:rsidRDefault="00FC1294" w:rsidP="00FC1294">
      <w:pPr>
        <w:autoSpaceDE w:val="0"/>
        <w:autoSpaceDN w:val="0"/>
        <w:adjustRightInd w:val="0"/>
        <w:rPr>
          <w:rFonts w:eastAsiaTheme="minorHAnsi"/>
          <w:i/>
          <w:iCs/>
          <w:color w:val="000000"/>
          <w:lang w:val="ro-RO"/>
        </w:rPr>
      </w:pPr>
      <w:r>
        <w:rPr>
          <w:rFonts w:eastAsiaTheme="minorHAnsi"/>
          <w:color w:val="000000"/>
          <w:lang w:val="ro-RO"/>
        </w:rPr>
        <w:tab/>
      </w:r>
      <w:r>
        <w:rPr>
          <w:rFonts w:eastAsiaTheme="minorHAnsi"/>
          <w:i/>
          <w:iCs/>
          <w:color w:val="000000"/>
          <w:lang w:val="ro-RO"/>
        </w:rPr>
        <w:t>Hotărârea a fost adoptată cu 20 voturi pentru.</w:t>
      </w:r>
    </w:p>
    <w:p w14:paraId="4302AA34" w14:textId="77777777" w:rsidR="00FC1294" w:rsidRDefault="00FC1294" w:rsidP="00FC1294">
      <w:pPr>
        <w:autoSpaceDE w:val="0"/>
        <w:autoSpaceDN w:val="0"/>
        <w:adjustRightInd w:val="0"/>
        <w:rPr>
          <w:rFonts w:eastAsiaTheme="minorHAnsi"/>
          <w:i/>
          <w:iCs/>
          <w:color w:val="000000"/>
          <w:lang w:val="ro-RO"/>
        </w:rPr>
      </w:pPr>
    </w:p>
    <w:p w14:paraId="58487411" w14:textId="77777777" w:rsidR="00FC1294" w:rsidRDefault="00FC1294" w:rsidP="00FC1294">
      <w:pPr>
        <w:autoSpaceDE w:val="0"/>
        <w:autoSpaceDN w:val="0"/>
        <w:adjustRightInd w:val="0"/>
        <w:rPr>
          <w:rFonts w:eastAsiaTheme="minorHAnsi"/>
          <w:i/>
          <w:iCs/>
          <w:color w:val="000000"/>
          <w:lang w:val="ro-RO"/>
        </w:rPr>
      </w:pPr>
    </w:p>
    <w:tbl>
      <w:tblPr>
        <w:tblW w:w="5000" w:type="pct"/>
        <w:tblLayout w:type="fixed"/>
        <w:tblCellMar>
          <w:left w:w="0" w:type="dxa"/>
          <w:right w:w="0" w:type="dxa"/>
        </w:tblCellMar>
        <w:tblLook w:val="00BF" w:firstRow="1" w:lastRow="0" w:firstColumn="1" w:lastColumn="0" w:noHBand="0" w:noVBand="0"/>
      </w:tblPr>
      <w:tblGrid>
        <w:gridCol w:w="4790"/>
        <w:gridCol w:w="4570"/>
      </w:tblGrid>
      <w:tr w:rsidR="00FC1294" w14:paraId="193DEC35" w14:textId="77777777">
        <w:tc>
          <w:tcPr>
            <w:tcW w:w="2558" w:type="pct"/>
          </w:tcPr>
          <w:p w14:paraId="6E998E95" w14:textId="77777777" w:rsidR="00FC1294" w:rsidRDefault="00FC1294">
            <w:pPr>
              <w:keepNext/>
              <w:keepLines/>
              <w:autoSpaceDE w:val="0"/>
              <w:autoSpaceDN w:val="0"/>
              <w:adjustRightInd w:val="0"/>
              <w:ind w:left="15"/>
              <w:rPr>
                <w:rFonts w:eastAsiaTheme="minorHAnsi"/>
                <w:b/>
                <w:bCs/>
                <w:color w:val="000000"/>
                <w:sz w:val="28"/>
                <w:szCs w:val="28"/>
                <w:lang w:val="ro-RO"/>
              </w:rPr>
            </w:pPr>
            <w:r>
              <w:rPr>
                <w:rFonts w:eastAsiaTheme="minorHAnsi"/>
                <w:b/>
                <w:bCs/>
                <w:color w:val="000000"/>
                <w:sz w:val="28"/>
                <w:szCs w:val="28"/>
                <w:lang w:val="ro-RO"/>
              </w:rPr>
              <w:t xml:space="preserve"> </w:t>
            </w:r>
            <w:proofErr w:type="spellStart"/>
            <w:r>
              <w:rPr>
                <w:rFonts w:eastAsiaTheme="minorHAnsi"/>
                <w:b/>
                <w:bCs/>
                <w:color w:val="000000"/>
                <w:sz w:val="28"/>
                <w:szCs w:val="28"/>
                <w:lang w:val="ro-RO"/>
              </w:rPr>
              <w:t>Preşedinte</w:t>
            </w:r>
            <w:proofErr w:type="spellEnd"/>
            <w:r>
              <w:rPr>
                <w:rFonts w:eastAsiaTheme="minorHAnsi"/>
                <w:b/>
                <w:bCs/>
                <w:color w:val="000000"/>
                <w:sz w:val="28"/>
                <w:szCs w:val="28"/>
                <w:lang w:val="ro-RO"/>
              </w:rPr>
              <w:t xml:space="preserve"> de </w:t>
            </w:r>
            <w:proofErr w:type="spellStart"/>
            <w:r>
              <w:rPr>
                <w:rFonts w:eastAsiaTheme="minorHAnsi"/>
                <w:b/>
                <w:bCs/>
                <w:color w:val="000000"/>
                <w:sz w:val="28"/>
                <w:szCs w:val="28"/>
                <w:lang w:val="ro-RO"/>
              </w:rPr>
              <w:t>şedinţă</w:t>
            </w:r>
            <w:proofErr w:type="spellEnd"/>
            <w:r>
              <w:rPr>
                <w:rFonts w:eastAsiaTheme="minorHAnsi"/>
                <w:b/>
                <w:bCs/>
                <w:color w:val="000000"/>
                <w:sz w:val="28"/>
                <w:szCs w:val="28"/>
                <w:lang w:val="ro-RO"/>
              </w:rPr>
              <w:t>,</w:t>
            </w:r>
          </w:p>
          <w:p w14:paraId="13FFE53D" w14:textId="77777777" w:rsidR="00FC1294" w:rsidRDefault="00FC1294">
            <w:pPr>
              <w:keepNext/>
              <w:keepLines/>
              <w:autoSpaceDE w:val="0"/>
              <w:autoSpaceDN w:val="0"/>
              <w:adjustRightInd w:val="0"/>
              <w:ind w:left="15"/>
              <w:rPr>
                <w:rFonts w:eastAsiaTheme="minorHAnsi"/>
                <w:b/>
                <w:bCs/>
                <w:color w:val="000000"/>
                <w:sz w:val="28"/>
                <w:szCs w:val="28"/>
                <w:lang w:val="ro-RO"/>
              </w:rPr>
            </w:pPr>
            <w:r>
              <w:rPr>
                <w:rFonts w:eastAsiaTheme="minorHAnsi"/>
                <w:b/>
                <w:bCs/>
                <w:color w:val="000000"/>
                <w:sz w:val="28"/>
                <w:szCs w:val="28"/>
                <w:lang w:val="ro-RO"/>
              </w:rPr>
              <w:t xml:space="preserve"> Consilier  RUBEN LAȚCĂU</w:t>
            </w:r>
            <w:r>
              <w:rPr>
                <w:rFonts w:eastAsiaTheme="minorHAnsi"/>
                <w:b/>
                <w:bCs/>
                <w:color w:val="000000"/>
                <w:sz w:val="28"/>
                <w:szCs w:val="28"/>
                <w:lang w:val="ro-RO"/>
              </w:rPr>
              <w:tab/>
            </w:r>
          </w:p>
        </w:tc>
        <w:tc>
          <w:tcPr>
            <w:tcW w:w="2441" w:type="pct"/>
          </w:tcPr>
          <w:p w14:paraId="5B0A196B" w14:textId="77777777" w:rsidR="00FC1294" w:rsidRDefault="00FC1294">
            <w:pPr>
              <w:keepNext/>
              <w:keepLines/>
              <w:autoSpaceDE w:val="0"/>
              <w:autoSpaceDN w:val="0"/>
              <w:adjustRightInd w:val="0"/>
              <w:ind w:left="15"/>
              <w:jc w:val="center"/>
              <w:rPr>
                <w:rFonts w:eastAsiaTheme="minorHAnsi"/>
                <w:b/>
                <w:bCs/>
                <w:color w:val="000000"/>
                <w:sz w:val="28"/>
                <w:szCs w:val="28"/>
                <w:lang w:val="ro-RO"/>
              </w:rPr>
            </w:pPr>
            <w:r>
              <w:rPr>
                <w:rFonts w:eastAsiaTheme="minorHAnsi"/>
                <w:b/>
                <w:bCs/>
                <w:color w:val="000000"/>
                <w:sz w:val="28"/>
                <w:szCs w:val="28"/>
                <w:lang w:val="ro-RO"/>
              </w:rPr>
              <w:t>Contrasemnează,</w:t>
            </w:r>
          </w:p>
          <w:p w14:paraId="2D7E09EB" w14:textId="77777777" w:rsidR="00FC1294" w:rsidRDefault="00FC1294">
            <w:pPr>
              <w:keepNext/>
              <w:keepLines/>
              <w:autoSpaceDE w:val="0"/>
              <w:autoSpaceDN w:val="0"/>
              <w:adjustRightInd w:val="0"/>
              <w:ind w:left="15"/>
              <w:jc w:val="center"/>
              <w:rPr>
                <w:rFonts w:eastAsiaTheme="minorHAnsi"/>
                <w:b/>
                <w:bCs/>
                <w:color w:val="000000"/>
                <w:sz w:val="28"/>
                <w:szCs w:val="28"/>
                <w:lang w:val="ro-RO"/>
              </w:rPr>
            </w:pPr>
            <w:r>
              <w:rPr>
                <w:rFonts w:eastAsiaTheme="minorHAnsi"/>
                <w:b/>
                <w:bCs/>
                <w:color w:val="000000"/>
                <w:sz w:val="28"/>
                <w:szCs w:val="28"/>
                <w:lang w:val="ro-RO"/>
              </w:rPr>
              <w:t>P. SECRETAR GENERAL</w:t>
            </w:r>
          </w:p>
          <w:p w14:paraId="574F535D" w14:textId="77777777" w:rsidR="00FC1294" w:rsidRDefault="00FC1294">
            <w:pPr>
              <w:keepNext/>
              <w:keepLines/>
              <w:autoSpaceDE w:val="0"/>
              <w:autoSpaceDN w:val="0"/>
              <w:adjustRightInd w:val="0"/>
              <w:ind w:left="15"/>
              <w:jc w:val="center"/>
              <w:rPr>
                <w:rFonts w:eastAsiaTheme="minorHAnsi"/>
                <w:b/>
                <w:bCs/>
                <w:color w:val="000000"/>
                <w:sz w:val="28"/>
                <w:szCs w:val="28"/>
                <w:lang w:val="ro-RO"/>
              </w:rPr>
            </w:pPr>
            <w:r>
              <w:rPr>
                <w:rFonts w:eastAsiaTheme="minorHAnsi"/>
                <w:b/>
                <w:bCs/>
                <w:color w:val="000000"/>
                <w:sz w:val="28"/>
                <w:szCs w:val="28"/>
                <w:lang w:val="ro-RO"/>
              </w:rPr>
              <w:t>CAIUS ȘULI</w:t>
            </w:r>
          </w:p>
        </w:tc>
      </w:tr>
    </w:tbl>
    <w:p w14:paraId="779B636D" w14:textId="77777777" w:rsidR="00FC1294" w:rsidRDefault="00FC1294" w:rsidP="00FC1294">
      <w:pPr>
        <w:autoSpaceDE w:val="0"/>
        <w:autoSpaceDN w:val="0"/>
        <w:adjustRightInd w:val="0"/>
        <w:rPr>
          <w:rFonts w:eastAsiaTheme="minorHAnsi"/>
          <w:b/>
          <w:bCs/>
          <w:color w:val="000000"/>
          <w:sz w:val="28"/>
          <w:szCs w:val="28"/>
          <w:lang w:val="ro-RO"/>
        </w:rPr>
      </w:pPr>
    </w:p>
    <w:p w14:paraId="1F4232F4" w14:textId="77777777" w:rsidR="00FC1294" w:rsidRDefault="00FC1294" w:rsidP="00FC1294">
      <w:pPr>
        <w:autoSpaceDE w:val="0"/>
        <w:autoSpaceDN w:val="0"/>
        <w:adjustRightInd w:val="0"/>
        <w:rPr>
          <w:rFonts w:eastAsiaTheme="minorHAnsi"/>
          <w:b/>
          <w:bCs/>
          <w:color w:val="000000"/>
          <w:sz w:val="28"/>
          <w:szCs w:val="28"/>
          <w:lang w:val="ro-RO"/>
        </w:rPr>
      </w:pPr>
    </w:p>
    <w:p w14:paraId="5B5ACE31" w14:textId="77777777" w:rsidR="00903A51" w:rsidRDefault="00903A51" w:rsidP="00903A51">
      <w:pPr>
        <w:jc w:val="center"/>
        <w:rPr>
          <w:b/>
          <w:lang w:val="ro-RO"/>
        </w:rPr>
      </w:pPr>
    </w:p>
    <w:p w14:paraId="45A5186C" w14:textId="77777777" w:rsidR="00903A51" w:rsidRDefault="00903A51" w:rsidP="00903A51">
      <w:pPr>
        <w:jc w:val="center"/>
        <w:rPr>
          <w:b/>
          <w:lang w:val="ro-RO"/>
        </w:rPr>
      </w:pPr>
    </w:p>
    <w:p w14:paraId="69A6D347" w14:textId="4B104F6F" w:rsidR="00903A51" w:rsidRDefault="00903A51" w:rsidP="00903A51">
      <w:pPr>
        <w:jc w:val="center"/>
        <w:rPr>
          <w:lang w:val="ro-RO"/>
        </w:rPr>
      </w:pPr>
      <w:r w:rsidRPr="00903A51">
        <w:rPr>
          <w:b/>
          <w:lang w:val="ro-RO"/>
        </w:rPr>
        <w:t xml:space="preserve">ANEXA  </w:t>
      </w:r>
      <w:r w:rsidR="00F66EC8">
        <w:rPr>
          <w:lang w:val="ro-RO"/>
        </w:rPr>
        <w:t>la proiectul de hotărâ</w:t>
      </w:r>
      <w:r w:rsidRPr="00903A51">
        <w:rPr>
          <w:lang w:val="ro-RO"/>
        </w:rPr>
        <w:t>re nr</w:t>
      </w:r>
      <w:r>
        <w:rPr>
          <w:lang w:val="ro-RO"/>
        </w:rPr>
        <w:t xml:space="preserve">. </w:t>
      </w:r>
      <w:r w:rsidR="00FC1294">
        <w:rPr>
          <w:lang w:val="ro-RO"/>
        </w:rPr>
        <w:t>513</w:t>
      </w:r>
      <w:r>
        <w:rPr>
          <w:lang w:val="ro-RO"/>
        </w:rPr>
        <w:t>/2022</w:t>
      </w:r>
    </w:p>
    <w:p w14:paraId="40044826" w14:textId="77777777" w:rsidR="00903A51" w:rsidRDefault="00903A51" w:rsidP="00903A51">
      <w:pPr>
        <w:jc w:val="center"/>
        <w:rPr>
          <w:lang w:val="ro-RO"/>
        </w:rPr>
      </w:pPr>
    </w:p>
    <w:p w14:paraId="37B302F4" w14:textId="77777777" w:rsidR="00903A51" w:rsidRPr="00903A51" w:rsidRDefault="00903A51" w:rsidP="00903A51">
      <w:pPr>
        <w:jc w:val="center"/>
        <w:rPr>
          <w:lang w:val="ro-RO"/>
        </w:rPr>
      </w:pPr>
    </w:p>
    <w:p w14:paraId="698509BA" w14:textId="77777777" w:rsidR="00903A51" w:rsidRPr="00903A51" w:rsidRDefault="00903A51" w:rsidP="00903A51">
      <w:pPr>
        <w:jc w:val="both"/>
        <w:rPr>
          <w:lang w:val="ro-RO"/>
        </w:rPr>
      </w:pPr>
      <w:r w:rsidRPr="00903A51">
        <w:rPr>
          <w:lang w:val="ro-RO"/>
        </w:rPr>
        <w:t>Ponderea criteriilor de selecţie:</w:t>
      </w:r>
    </w:p>
    <w:p w14:paraId="2FD32287" w14:textId="77777777" w:rsidR="00903A51" w:rsidRPr="00903A51" w:rsidRDefault="00903A51" w:rsidP="00903A51">
      <w:pPr>
        <w:jc w:val="both"/>
        <w:rPr>
          <w:b/>
          <w:lang w:val="ro-RO"/>
        </w:rPr>
      </w:pPr>
    </w:p>
    <w:p w14:paraId="51E0557B" w14:textId="77777777" w:rsidR="00903A51" w:rsidRPr="00EC48ED" w:rsidRDefault="00903A51" w:rsidP="00903A51">
      <w:pPr>
        <w:jc w:val="both"/>
        <w:rPr>
          <w:lang w:val="ro-RO"/>
        </w:rPr>
      </w:pPr>
      <w:r>
        <w:rPr>
          <w:lang w:val="ro-RO"/>
        </w:rPr>
        <w:t xml:space="preserve">a) </w:t>
      </w:r>
      <w:r w:rsidRPr="00EC48ED">
        <w:rPr>
          <w:b/>
          <w:lang w:val="ro-RO"/>
        </w:rPr>
        <w:t>vechimea clădirii</w:t>
      </w:r>
      <w:r>
        <w:rPr>
          <w:b/>
          <w:lang w:val="ro-RO"/>
        </w:rPr>
        <w:t xml:space="preserve"> - </w:t>
      </w:r>
      <w:r w:rsidRPr="00EC48ED">
        <w:rPr>
          <w:lang w:val="ro-RO"/>
        </w:rPr>
        <w:t>punctajul maxim stabilit la 55 puncte, se va aloca clădirilor construite în anul 1950 el urmând a se diminua cu câte 1 punct/an pentru clădirile construite în perioada 1950-2005;</w:t>
      </w:r>
    </w:p>
    <w:p w14:paraId="263C319E" w14:textId="77777777" w:rsidR="00903A51" w:rsidRPr="00EC48ED" w:rsidRDefault="00903A51" w:rsidP="00903A51">
      <w:pPr>
        <w:jc w:val="both"/>
        <w:rPr>
          <w:lang w:val="ro-RO"/>
        </w:rPr>
      </w:pPr>
    </w:p>
    <w:p w14:paraId="6E483D62" w14:textId="77777777" w:rsidR="00903A51" w:rsidRPr="00EC48ED" w:rsidRDefault="00903A51" w:rsidP="00903A51">
      <w:pPr>
        <w:jc w:val="both"/>
        <w:rPr>
          <w:lang w:val="ro-RO"/>
        </w:rPr>
      </w:pPr>
      <w:r w:rsidRPr="00EC48ED">
        <w:rPr>
          <w:lang w:val="ro-RO"/>
        </w:rPr>
        <w:t xml:space="preserve">b) </w:t>
      </w:r>
      <w:r w:rsidRPr="00EC48ED">
        <w:rPr>
          <w:rStyle w:val="slitbdy"/>
          <w:b/>
          <w:lang w:val="ro-RO"/>
        </w:rPr>
        <w:t>nivel de performanță energetică</w:t>
      </w:r>
      <w:r>
        <w:rPr>
          <w:rStyle w:val="slitbdy"/>
          <w:b/>
          <w:lang w:val="ro-RO"/>
        </w:rPr>
        <w:t xml:space="preserve"> - </w:t>
      </w:r>
      <w:r w:rsidRPr="00EC48ED">
        <w:rPr>
          <w:lang w:val="ro-RO"/>
        </w:rPr>
        <w:t>punctajul maxim  stabilit la 30 puncte se va acorda astfel:</w:t>
      </w:r>
    </w:p>
    <w:p w14:paraId="6467C146" w14:textId="77777777" w:rsidR="00903A51" w:rsidRPr="00EC48ED" w:rsidRDefault="00903A51" w:rsidP="00903A51">
      <w:pPr>
        <w:ind w:left="720"/>
        <w:jc w:val="both"/>
        <w:rPr>
          <w:lang w:val="ro-RO"/>
        </w:rPr>
      </w:pPr>
      <w:r w:rsidRPr="00EC48ED">
        <w:rPr>
          <w:lang w:val="ro-RO"/>
        </w:rPr>
        <w:t xml:space="preserve">1. 10 puncte pentru clădirile construite din cărămidă;     </w:t>
      </w:r>
    </w:p>
    <w:p w14:paraId="7B6E9130" w14:textId="77777777" w:rsidR="00903A51" w:rsidRPr="00EC48ED" w:rsidRDefault="00903A51" w:rsidP="00903A51">
      <w:pPr>
        <w:tabs>
          <w:tab w:val="left" w:pos="3435"/>
        </w:tabs>
        <w:ind w:firstLine="360"/>
        <w:jc w:val="both"/>
        <w:rPr>
          <w:lang w:val="ro-RO"/>
        </w:rPr>
      </w:pPr>
      <w:r w:rsidRPr="00EC48ED">
        <w:rPr>
          <w:lang w:val="ro-RO"/>
        </w:rPr>
        <w:t xml:space="preserve">      2. 20 puncte pentru clădirile mixte (beton şi cărămidă);</w:t>
      </w:r>
    </w:p>
    <w:p w14:paraId="5BC4DAD1" w14:textId="77777777" w:rsidR="00903A51" w:rsidRPr="00EC48ED" w:rsidRDefault="00903A51" w:rsidP="00903A51">
      <w:pPr>
        <w:tabs>
          <w:tab w:val="left" w:pos="3435"/>
        </w:tabs>
        <w:ind w:firstLine="360"/>
        <w:jc w:val="both"/>
        <w:rPr>
          <w:lang w:val="ro-RO"/>
        </w:rPr>
      </w:pPr>
      <w:r w:rsidRPr="00EC48ED">
        <w:rPr>
          <w:lang w:val="ro-RO"/>
        </w:rPr>
        <w:t xml:space="preserve">      3. 30 puncte pentru blocurile construite din prefabricate de beton;</w:t>
      </w:r>
    </w:p>
    <w:p w14:paraId="2A0B71D9" w14:textId="77777777" w:rsidR="00903A51" w:rsidRPr="00EC48ED" w:rsidRDefault="00903A51" w:rsidP="00903A51">
      <w:pPr>
        <w:tabs>
          <w:tab w:val="left" w:pos="3435"/>
        </w:tabs>
        <w:ind w:firstLine="360"/>
        <w:jc w:val="both"/>
        <w:rPr>
          <w:lang w:val="ro-RO"/>
        </w:rPr>
      </w:pPr>
    </w:p>
    <w:p w14:paraId="141B5738" w14:textId="77777777" w:rsidR="00903A51" w:rsidRPr="00EC48ED" w:rsidRDefault="00903A51" w:rsidP="00903A51">
      <w:pPr>
        <w:tabs>
          <w:tab w:val="left" w:pos="2100"/>
        </w:tabs>
        <w:jc w:val="both"/>
        <w:rPr>
          <w:lang w:val="ro-RO"/>
        </w:rPr>
      </w:pPr>
      <w:r>
        <w:rPr>
          <w:lang w:val="ro-RO"/>
        </w:rPr>
        <w:t xml:space="preserve">c)  </w:t>
      </w:r>
      <w:r w:rsidRPr="00EC48ED">
        <w:rPr>
          <w:b/>
          <w:lang w:val="ro-RO"/>
        </w:rPr>
        <w:t>numărul de apartamente</w:t>
      </w:r>
      <w:r>
        <w:rPr>
          <w:b/>
          <w:lang w:val="ro-RO"/>
        </w:rPr>
        <w:t xml:space="preserve"> -</w:t>
      </w:r>
      <w:r w:rsidRPr="00EC48ED">
        <w:rPr>
          <w:lang w:val="ro-RO"/>
        </w:rPr>
        <w:t xml:space="preserve"> punctajul alocat pentru acest criteriu va fi identic cu numărul de apartamente ale clădirii (1punct/apartament);</w:t>
      </w:r>
    </w:p>
    <w:p w14:paraId="77EDBA76" w14:textId="77777777" w:rsidR="00903A51" w:rsidRPr="00EC48ED" w:rsidRDefault="00903A51" w:rsidP="00903A51">
      <w:pPr>
        <w:tabs>
          <w:tab w:val="left" w:pos="2100"/>
        </w:tabs>
        <w:jc w:val="both"/>
        <w:rPr>
          <w:lang w:val="ro-RO"/>
        </w:rPr>
      </w:pPr>
    </w:p>
    <w:p w14:paraId="761726C4" w14:textId="77777777" w:rsidR="00903A51" w:rsidRPr="00EC48ED" w:rsidRDefault="00903A51" w:rsidP="00903A51">
      <w:pPr>
        <w:pStyle w:val="NormalWeb"/>
        <w:spacing w:before="0" w:beforeAutospacing="0" w:after="0" w:afterAutospacing="0"/>
        <w:jc w:val="both"/>
        <w:rPr>
          <w:b/>
          <w:lang w:val="ro-RO"/>
        </w:rPr>
      </w:pPr>
      <w:r w:rsidRPr="00EC48ED">
        <w:rPr>
          <w:rStyle w:val="slitbdy"/>
          <w:lang w:val="ro-RO"/>
        </w:rPr>
        <w:t>d)</w:t>
      </w:r>
      <w:r>
        <w:rPr>
          <w:rStyle w:val="slitbdy"/>
          <w:lang w:val="ro-RO"/>
        </w:rPr>
        <w:t xml:space="preserve"> </w:t>
      </w:r>
      <w:r w:rsidRPr="00EC48ED">
        <w:rPr>
          <w:b/>
          <w:lang w:val="ro-RO"/>
        </w:rPr>
        <w:t>apartenenţă la sistemul centralizat de încălzire</w:t>
      </w:r>
      <w:r>
        <w:rPr>
          <w:b/>
          <w:lang w:val="ro-RO"/>
        </w:rPr>
        <w:t xml:space="preserve"> -</w:t>
      </w:r>
      <w:r w:rsidRPr="00EC48ED">
        <w:rPr>
          <w:lang w:val="ro-RO"/>
        </w:rPr>
        <w:t xml:space="preserve"> se  v</w:t>
      </w:r>
      <w:r>
        <w:rPr>
          <w:lang w:val="ro-RO"/>
        </w:rPr>
        <w:t>a</w:t>
      </w:r>
      <w:r w:rsidRPr="00EC48ED">
        <w:rPr>
          <w:lang w:val="ro-RO"/>
        </w:rPr>
        <w:t xml:space="preserve"> aloca</w:t>
      </w:r>
      <w:r w:rsidRPr="00F727F3">
        <w:rPr>
          <w:lang w:val="ro-RO"/>
        </w:rPr>
        <w:t xml:space="preserve"> </w:t>
      </w:r>
      <w:r w:rsidRPr="00EC48ED">
        <w:rPr>
          <w:lang w:val="ro-RO"/>
        </w:rPr>
        <w:t xml:space="preserve">un maxim de 20 puncte blocurilor fără apartamente deconectate de la sistemul centralizat, urmând ca acestea să poată fi diminuate proporţional cu </w:t>
      </w:r>
      <w:r>
        <w:rPr>
          <w:lang w:val="ro-RO"/>
        </w:rPr>
        <w:t>numărul</w:t>
      </w:r>
      <w:r w:rsidRPr="00EC48ED">
        <w:rPr>
          <w:lang w:val="ro-RO"/>
        </w:rPr>
        <w:t xml:space="preserve"> apartamentelor deconectate</w:t>
      </w:r>
      <w:r>
        <w:rPr>
          <w:lang w:val="ro-RO"/>
        </w:rPr>
        <w:t>,</w:t>
      </w:r>
      <w:r w:rsidRPr="00EC48ED">
        <w:rPr>
          <w:lang w:val="ro-RO"/>
        </w:rPr>
        <w:t xml:space="preserve"> conform </w:t>
      </w:r>
      <w:r>
        <w:rPr>
          <w:lang w:val="ro-RO"/>
        </w:rPr>
        <w:t>formule</w:t>
      </w:r>
      <w:r w:rsidRPr="00EC48ED">
        <w:rPr>
          <w:lang w:val="ro-RO"/>
        </w:rPr>
        <w:t>i:</w:t>
      </w:r>
      <w:r w:rsidRPr="00EC48ED">
        <w:rPr>
          <w:b/>
          <w:lang w:val="ro-RO"/>
        </w:rPr>
        <w:t xml:space="preserve"> </w:t>
      </w:r>
    </w:p>
    <w:p w14:paraId="71372E9A" w14:textId="77777777" w:rsidR="00903A51" w:rsidRPr="00EC48ED" w:rsidRDefault="00903A51" w:rsidP="00903A51">
      <w:pPr>
        <w:tabs>
          <w:tab w:val="left" w:pos="2100"/>
        </w:tabs>
        <w:jc w:val="both"/>
        <w:rPr>
          <w:b/>
          <w:lang w:val="ro-RO"/>
        </w:rPr>
      </w:pPr>
      <w:r w:rsidRPr="00EC48ED">
        <w:rPr>
          <w:b/>
          <w:lang w:val="ro-RO"/>
        </w:rPr>
        <w:tab/>
      </w:r>
    </w:p>
    <w:p w14:paraId="6D03BE75" w14:textId="77777777" w:rsidR="00903A51" w:rsidRPr="00EC48ED" w:rsidRDefault="00903A51" w:rsidP="00903A51">
      <w:pPr>
        <w:tabs>
          <w:tab w:val="left" w:pos="2100"/>
        </w:tabs>
        <w:jc w:val="both"/>
        <w:rPr>
          <w:b/>
          <w:lang w:val="ro-RO"/>
        </w:rPr>
      </w:pPr>
      <w:r w:rsidRPr="00EC48ED">
        <w:rPr>
          <w:b/>
          <w:lang w:val="ro-RO"/>
        </w:rPr>
        <w:t xml:space="preserve">Nr. puncte = </w:t>
      </w:r>
      <w:r>
        <w:rPr>
          <w:b/>
          <w:lang w:val="ro-RO"/>
        </w:rPr>
        <w:t>20 - (</w:t>
      </w:r>
      <w:r w:rsidRPr="00EC48ED">
        <w:rPr>
          <w:b/>
          <w:lang w:val="ro-RO"/>
        </w:rPr>
        <w:t xml:space="preserve">nr. ap. deconectate /nr. total ap.) X </w:t>
      </w:r>
      <w:r>
        <w:rPr>
          <w:b/>
          <w:lang w:val="ro-RO"/>
        </w:rPr>
        <w:t>2</w:t>
      </w:r>
      <w:r w:rsidRPr="00EC48ED">
        <w:rPr>
          <w:b/>
          <w:lang w:val="ro-RO"/>
        </w:rPr>
        <w:t>0</w:t>
      </w:r>
    </w:p>
    <w:p w14:paraId="43AE79BA" w14:textId="77777777" w:rsidR="00903A51" w:rsidRPr="00EC48ED" w:rsidRDefault="00903A51" w:rsidP="00903A51">
      <w:pPr>
        <w:tabs>
          <w:tab w:val="left" w:pos="2100"/>
        </w:tabs>
        <w:jc w:val="both"/>
        <w:rPr>
          <w:b/>
          <w:lang w:val="ro-RO"/>
        </w:rPr>
      </w:pPr>
    </w:p>
    <w:p w14:paraId="1780ABB7" w14:textId="77777777" w:rsidR="00903A51" w:rsidRPr="00EC48ED" w:rsidRDefault="00903A51" w:rsidP="00903A51">
      <w:pPr>
        <w:tabs>
          <w:tab w:val="left" w:pos="2100"/>
        </w:tabs>
        <w:jc w:val="both"/>
        <w:rPr>
          <w:lang w:val="ro-RO"/>
        </w:rPr>
      </w:pPr>
      <w:r w:rsidRPr="00EC48ED">
        <w:rPr>
          <w:lang w:val="ro-RO"/>
        </w:rPr>
        <w:t>e)</w:t>
      </w:r>
      <w:r>
        <w:rPr>
          <w:b/>
          <w:lang w:val="ro-RO"/>
        </w:rPr>
        <w:t xml:space="preserve"> </w:t>
      </w:r>
      <w:r w:rsidRPr="00EC48ED">
        <w:rPr>
          <w:b/>
          <w:lang w:val="ro-RO"/>
        </w:rPr>
        <w:t>vechimea cererii</w:t>
      </w:r>
      <w:r>
        <w:rPr>
          <w:b/>
          <w:lang w:val="ro-RO"/>
        </w:rPr>
        <w:t xml:space="preserve"> -</w:t>
      </w:r>
      <w:r w:rsidRPr="00EC48ED">
        <w:rPr>
          <w:lang w:val="ro-RO"/>
        </w:rPr>
        <w:t xml:space="preserve"> asociaţiei de proprietari de includere în programul anual  reabilitare termică</w:t>
      </w:r>
      <w:r>
        <w:rPr>
          <w:lang w:val="ro-RO"/>
        </w:rPr>
        <w:t>,</w:t>
      </w:r>
      <w:r w:rsidRPr="00EC48ED">
        <w:rPr>
          <w:lang w:val="ro-RO"/>
        </w:rPr>
        <w:t xml:space="preserve"> se va aplica la departajarea  imobilelor care cumulează acelaşi număr de puncte. </w:t>
      </w:r>
    </w:p>
    <w:p w14:paraId="3E484879" w14:textId="77777777" w:rsidR="00000F78" w:rsidRPr="00903A51" w:rsidRDefault="00000F78"/>
    <w:p w14:paraId="374AF7ED" w14:textId="77777777" w:rsidR="00903A51" w:rsidRPr="00EC48ED" w:rsidRDefault="00903A51" w:rsidP="00903A51">
      <w:pPr>
        <w:jc w:val="both"/>
        <w:rPr>
          <w:lang w:val="ro-RO"/>
        </w:rPr>
      </w:pPr>
      <w:r w:rsidRPr="00EC48ED">
        <w:rPr>
          <w:lang w:val="ro-RO"/>
        </w:rPr>
        <w:t xml:space="preserve">        </w:t>
      </w:r>
      <w:r>
        <w:rPr>
          <w:lang w:val="ro-RO"/>
        </w:rPr>
        <w:t xml:space="preserve"> </w:t>
      </w:r>
      <w:r w:rsidR="00CA327B">
        <w:rPr>
          <w:lang w:val="ro-RO"/>
        </w:rPr>
        <w:t>Director executiv</w:t>
      </w:r>
      <w:r>
        <w:rPr>
          <w:lang w:val="ro-RO"/>
        </w:rPr>
        <w:tab/>
      </w:r>
      <w:r>
        <w:rPr>
          <w:lang w:val="ro-RO"/>
        </w:rPr>
        <w:tab/>
      </w:r>
      <w:r>
        <w:rPr>
          <w:lang w:val="ro-RO"/>
        </w:rPr>
        <w:tab/>
      </w:r>
      <w:r>
        <w:rPr>
          <w:lang w:val="ro-RO"/>
        </w:rPr>
        <w:tab/>
      </w:r>
      <w:r>
        <w:rPr>
          <w:lang w:val="ro-RO"/>
        </w:rPr>
        <w:tab/>
      </w:r>
      <w:r>
        <w:rPr>
          <w:lang w:val="ro-RO"/>
        </w:rPr>
        <w:tab/>
      </w:r>
      <w:r>
        <w:rPr>
          <w:lang w:val="ro-RO"/>
        </w:rPr>
        <w:tab/>
      </w:r>
      <w:r w:rsidRPr="00EC48ED">
        <w:rPr>
          <w:lang w:val="ro-RO"/>
        </w:rPr>
        <w:t>Șef birou</w:t>
      </w:r>
    </w:p>
    <w:p w14:paraId="5216030F" w14:textId="77777777" w:rsidR="00903A51" w:rsidRPr="00EC48ED" w:rsidRDefault="00903A51" w:rsidP="00903A51">
      <w:pPr>
        <w:jc w:val="both"/>
        <w:rPr>
          <w:lang w:val="ro-RO"/>
        </w:rPr>
      </w:pPr>
      <w:r w:rsidRPr="00EC48ED">
        <w:rPr>
          <w:lang w:val="ro-RO"/>
        </w:rPr>
        <w:t xml:space="preserve">         Gabriela Bica</w:t>
      </w:r>
      <w:r w:rsidRPr="00EC48ED">
        <w:rPr>
          <w:lang w:val="ro-RO"/>
        </w:rPr>
        <w:tab/>
      </w:r>
      <w:r w:rsidRPr="00EC48ED">
        <w:rPr>
          <w:lang w:val="ro-RO"/>
        </w:rPr>
        <w:tab/>
      </w:r>
      <w:r w:rsidRPr="00EC48ED">
        <w:rPr>
          <w:lang w:val="ro-RO"/>
        </w:rPr>
        <w:tab/>
      </w:r>
      <w:r w:rsidRPr="00EC48ED">
        <w:rPr>
          <w:lang w:val="ro-RO"/>
        </w:rPr>
        <w:tab/>
      </w:r>
      <w:r w:rsidRPr="00EC48ED">
        <w:rPr>
          <w:lang w:val="ro-RO"/>
        </w:rPr>
        <w:tab/>
      </w:r>
      <w:r w:rsidRPr="00EC48ED">
        <w:rPr>
          <w:lang w:val="ro-RO"/>
        </w:rPr>
        <w:tab/>
      </w:r>
      <w:r w:rsidRPr="00EC48ED">
        <w:rPr>
          <w:lang w:val="ro-RO"/>
        </w:rPr>
        <w:tab/>
        <w:t xml:space="preserve">           Cristina Babescu</w:t>
      </w:r>
    </w:p>
    <w:p w14:paraId="318026A0" w14:textId="77777777" w:rsidR="00903A51" w:rsidRPr="00EC48ED" w:rsidRDefault="00903A51" w:rsidP="00903A51">
      <w:pPr>
        <w:jc w:val="both"/>
        <w:rPr>
          <w:lang w:val="ro-RO"/>
        </w:rPr>
      </w:pPr>
    </w:p>
    <w:p w14:paraId="1C56893D" w14:textId="77777777" w:rsidR="00903A51" w:rsidRPr="00EC48ED" w:rsidRDefault="00903A51" w:rsidP="00903A51">
      <w:pPr>
        <w:jc w:val="both"/>
        <w:rPr>
          <w:lang w:val="ro-RO"/>
        </w:rPr>
      </w:pPr>
    </w:p>
    <w:p w14:paraId="649CFA82" w14:textId="77777777" w:rsidR="00903A51" w:rsidRPr="00EC48ED" w:rsidRDefault="00903A51" w:rsidP="00903A51">
      <w:pPr>
        <w:jc w:val="both"/>
        <w:rPr>
          <w:lang w:val="ro-RO"/>
        </w:rPr>
      </w:pPr>
    </w:p>
    <w:p w14:paraId="75434A94" w14:textId="77777777" w:rsidR="00903A51" w:rsidRPr="00EC48ED" w:rsidRDefault="00903A51" w:rsidP="00903A51">
      <w:pPr>
        <w:rPr>
          <w:lang w:val="ro-RO"/>
        </w:rPr>
      </w:pPr>
      <w:r w:rsidRPr="00EC48ED">
        <w:rPr>
          <w:lang w:val="ro-RO"/>
        </w:rPr>
        <w:t xml:space="preserve">            Consilier</w:t>
      </w:r>
      <w:r w:rsidRPr="00EC48ED">
        <w:rPr>
          <w:lang w:val="ro-RO"/>
        </w:rPr>
        <w:tab/>
      </w:r>
      <w:r w:rsidRPr="00EC48ED">
        <w:rPr>
          <w:lang w:val="ro-RO"/>
        </w:rPr>
        <w:tab/>
      </w:r>
      <w:r w:rsidRPr="00EC48ED">
        <w:rPr>
          <w:lang w:val="ro-RO"/>
        </w:rPr>
        <w:tab/>
      </w:r>
      <w:r w:rsidRPr="00EC48ED">
        <w:rPr>
          <w:lang w:val="ro-RO"/>
        </w:rPr>
        <w:tab/>
      </w:r>
      <w:r w:rsidRPr="00EC48ED">
        <w:rPr>
          <w:lang w:val="ro-RO"/>
        </w:rPr>
        <w:tab/>
      </w:r>
      <w:r w:rsidRPr="00EC48ED">
        <w:rPr>
          <w:lang w:val="ro-RO"/>
        </w:rPr>
        <w:tab/>
        <w:t xml:space="preserve">                   </w:t>
      </w:r>
    </w:p>
    <w:p w14:paraId="3151C70B" w14:textId="1B422DFD" w:rsidR="00903A51" w:rsidRPr="00903A51" w:rsidRDefault="00903A51">
      <w:r w:rsidRPr="00EC48ED">
        <w:rPr>
          <w:lang w:val="ro-RO"/>
        </w:rPr>
        <w:t xml:space="preserve">          </w:t>
      </w:r>
      <w:r>
        <w:rPr>
          <w:lang w:val="ro-RO"/>
        </w:rPr>
        <w:t xml:space="preserve">  </w:t>
      </w:r>
      <w:r w:rsidRPr="00EC48ED">
        <w:rPr>
          <w:lang w:val="ro-RO"/>
        </w:rPr>
        <w:t>Ana Georgiu</w:t>
      </w:r>
      <w:r w:rsidRPr="00EC48ED">
        <w:rPr>
          <w:lang w:val="ro-RO"/>
        </w:rPr>
        <w:tab/>
      </w:r>
      <w:r w:rsidRPr="00EC48ED">
        <w:rPr>
          <w:lang w:val="ro-RO"/>
        </w:rPr>
        <w:tab/>
      </w:r>
    </w:p>
    <w:sectPr w:rsidR="00903A51" w:rsidRPr="00903A51" w:rsidSect="00903A51">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4415E"/>
    <w:multiLevelType w:val="hybridMultilevel"/>
    <w:tmpl w:val="45AE81A0"/>
    <w:lvl w:ilvl="0" w:tplc="4D2044E8">
      <w:start w:val="1"/>
      <w:numFmt w:val="lowerLetter"/>
      <w:lvlText w:val="%1)"/>
      <w:lvlJc w:val="left"/>
      <w:pPr>
        <w:tabs>
          <w:tab w:val="num" w:pos="720"/>
        </w:tabs>
        <w:ind w:left="720" w:hanging="360"/>
      </w:pPr>
      <w:rPr>
        <w:b w:val="0"/>
      </w:rPr>
    </w:lvl>
    <w:lvl w:ilvl="1" w:tplc="4E00BC8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7291338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51"/>
    <w:rsid w:val="00000F78"/>
    <w:rsid w:val="00135B57"/>
    <w:rsid w:val="001B1A17"/>
    <w:rsid w:val="00903A51"/>
    <w:rsid w:val="00CA327B"/>
    <w:rsid w:val="00DC6303"/>
    <w:rsid w:val="00E045D0"/>
    <w:rsid w:val="00F66EC8"/>
    <w:rsid w:val="00FC1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7D66"/>
  <w15:docId w15:val="{53E56EB9-9DFE-42CD-B4E9-D6D42C67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A51"/>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A51"/>
    <w:pPr>
      <w:spacing w:before="100" w:beforeAutospacing="1" w:after="100" w:afterAutospacing="1"/>
    </w:pPr>
  </w:style>
  <w:style w:type="character" w:customStyle="1" w:styleId="slitbdy">
    <w:name w:val="s_lit_bdy"/>
    <w:basedOn w:val="DefaultParagraphFont"/>
    <w:rsid w:val="00903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2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ageorgiu</dc:creator>
  <cp:keywords/>
  <dc:description/>
  <cp:lastModifiedBy>Ella Anca SIPETAN</cp:lastModifiedBy>
  <cp:revision>2</cp:revision>
  <cp:lastPrinted>2022-09-06T13:01:00Z</cp:lastPrinted>
  <dcterms:created xsi:type="dcterms:W3CDTF">2022-12-07T14:15:00Z</dcterms:created>
  <dcterms:modified xsi:type="dcterms:W3CDTF">2022-12-07T14:15:00Z</dcterms:modified>
</cp:coreProperties>
</file>